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t>Enron North America Corp.</w:t>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r>
    </w:p>
    <w:p>
      <w:pPr>
        <w:pStyle w:val="Normal"/>
        <w:widowControl/>
        <w:ind w:firstLine="720" w:end="0"/>
        <w:rPr>
          <w:sz w:val="22"/>
        </w:rPr>
      </w:pPr>
      <w:r>
        <w:rPr>
          <w:sz w:val="22"/>
        </w:rPr>
        <w:t>Date:</w:t>
        <w:tab/>
        <w:tab/>
        <w:tab/>
        <w:tab/>
        <w:t>September 27, 1999</w:t>
      </w:r>
    </w:p>
    <w:p>
      <w:pPr>
        <w:pStyle w:val="Normal"/>
        <w:widowControl/>
        <w:rPr>
          <w:sz w:val="22"/>
          <w:u w:val="single"/>
        </w:rPr>
      </w:pPr>
      <w:r>
        <w:rPr>
          <w:sz w:val="22"/>
          <w:u w:val="single"/>
        </w:rPr>
      </w:r>
    </w:p>
    <w:p>
      <w:pPr>
        <w:pStyle w:val="Normal"/>
        <w:widowControl/>
        <w:ind w:firstLine="720" w:end="0"/>
        <w:rPr>
          <w:sz w:val="22"/>
        </w:rPr>
      </w:pPr>
      <w:r>
        <w:rPr>
          <w:sz w:val="22"/>
        </w:rPr>
        <w:t>To:</w:t>
        <w:tab/>
        <w:tab/>
        <w:tab/>
        <w:tab/>
        <w:t>Waste Management, Inc. (“Party B”)</w:t>
      </w:r>
    </w:p>
    <w:p>
      <w:pPr>
        <w:pStyle w:val="Normal"/>
        <w:widowControl/>
        <w:rPr>
          <w:sz w:val="22"/>
        </w:rPr>
      </w:pPr>
      <w:r>
        <w:rPr>
          <w:sz w:val="22"/>
        </w:rPr>
      </w:r>
    </w:p>
    <w:p>
      <w:pPr>
        <w:pStyle w:val="Normal"/>
        <w:widowControl/>
        <w:ind w:firstLine="720" w:end="0"/>
        <w:rPr>
          <w:sz w:val="22"/>
        </w:rPr>
      </w:pPr>
      <w:r>
        <w:rPr>
          <w:sz w:val="22"/>
        </w:rPr>
        <w:t xml:space="preserve">Attention: </w:t>
        <w:tab/>
        <w:tab/>
        <w:tab/>
        <w:t>Tom Riek</w:t>
      </w:r>
    </w:p>
    <w:p>
      <w:pPr>
        <w:pStyle w:val="Normal"/>
        <w:widowControl/>
        <w:rPr>
          <w:sz w:val="22"/>
        </w:rPr>
      </w:pPr>
      <w:r>
        <w:rPr>
          <w:sz w:val="22"/>
        </w:rPr>
      </w:r>
    </w:p>
    <w:p>
      <w:pPr>
        <w:pStyle w:val="Normal"/>
        <w:widowControl/>
        <w:ind w:firstLine="720" w:end="0"/>
        <w:rPr>
          <w:sz w:val="22"/>
        </w:rPr>
      </w:pPr>
      <w:r>
        <w:rPr>
          <w:sz w:val="22"/>
        </w:rPr>
        <w:t>Fax Number:</w:t>
        <w:tab/>
        <w:tab/>
        <w:tab/>
        <w:t>(713) 394-2135</w:t>
      </w:r>
    </w:p>
    <w:p>
      <w:pPr>
        <w:pStyle w:val="Normal"/>
        <w:widowControl/>
        <w:rPr>
          <w:sz w:val="22"/>
        </w:rPr>
      </w:pPr>
      <w:r>
        <w:rPr>
          <w:sz w:val="22"/>
        </w:rPr>
      </w:r>
    </w:p>
    <w:p>
      <w:pPr>
        <w:pStyle w:val="Normal"/>
        <w:widowControl/>
        <w:ind w:firstLine="720" w:end="0"/>
        <w:rPr>
          <w:sz w:val="22"/>
        </w:rPr>
      </w:pPr>
      <w:r>
        <w:rPr>
          <w:sz w:val="22"/>
        </w:rPr>
        <w:t>From:</w:t>
        <w:tab/>
        <w:tab/>
        <w:tab/>
        <w:tab/>
        <w:t>Enron North America Corp. (“Party A”)</w:t>
      </w:r>
    </w:p>
    <w:p>
      <w:pPr>
        <w:pStyle w:val="Normal"/>
        <w:widowControl/>
        <w:rPr>
          <w:sz w:val="22"/>
        </w:rPr>
      </w:pPr>
      <w:r>
        <w:rPr>
          <w:sz w:val="22"/>
        </w:rPr>
      </w:r>
    </w:p>
    <w:p>
      <w:pPr>
        <w:pStyle w:val="Normal"/>
        <w:widowControl/>
        <w:ind w:firstLine="720" w:end="0"/>
        <w:rPr>
          <w:sz w:val="22"/>
        </w:rPr>
      </w:pPr>
      <w:r>
        <w:rPr>
          <w:sz w:val="22"/>
        </w:rPr>
        <w:t>Re:</w:t>
        <w:tab/>
        <w:tab/>
        <w:tab/>
        <w:tab/>
        <w:t>Commodity Swap, ENA Deal No. N21961.1</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the ISDA Master Agreement dated as of February 2, 1999,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ind w:firstLine="720" w:end="0"/>
        <w:jc w:val="both"/>
        <w:rPr>
          <w:sz w:val="22"/>
        </w:rPr>
      </w:pPr>
      <w:r>
        <w:rPr>
          <w:sz w:val="22"/>
        </w:rPr>
        <w:t>2.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Normal"/>
        <w:widowControl/>
        <w:jc w:val="both"/>
        <w:rPr>
          <w:sz w:val="22"/>
        </w:rPr>
      </w:pPr>
      <w:r>
        <w:rPr>
          <w:sz w:val="22"/>
        </w:rPr>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 xml:space="preserve">37,800 Short Tons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1,400 Short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Old Corrugated Containers # 11</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Short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sz w:val="22"/>
              </w:rPr>
            </w:pPr>
            <w:r>
              <w:rPr>
                <w:sz w:val="22"/>
              </w:rPr>
              <w:t>September 27,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December 1, 2004</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February 28, 2007</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88" w:type="dxa"/>
            <w:tcBorders/>
          </w:tcPr>
          <w:p>
            <w:pPr>
              <w:pStyle w:val="Normal"/>
              <w:widowControl/>
              <w:jc w:val="both"/>
              <w:rPr>
                <w:sz w:val="22"/>
              </w:rPr>
            </w:pPr>
            <w:r>
              <w:rPr>
                <w:color w:val="000000"/>
                <w:sz w:val="22"/>
              </w:rPr>
              <w:t>Monthly periods, with the first Calculation Period commencing on December 1, 2004 and the final Calculation Period ending on February 28, 2007</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$68.00 per Short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B</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sz w:val="22"/>
              </w:rPr>
            </w:pPr>
            <w:r>
              <w:rPr>
                <w:color w:val="000000"/>
                <w:sz w:val="22"/>
              </w:rPr>
              <w:t xml:space="preserve">The Floating Price for each Calculation Period shall be the high price per Short Ton of Old Corrugated Containers  #11, stated in U.S. Dollars, published under the headings “Transacted paper stock prices: Old Corrugated Containers (11)” opposite the caption “Southeast” in the second issue of each month of </w:t>
            </w:r>
            <w:r>
              <w:rPr>
                <w:color w:val="000000"/>
                <w:sz w:val="22"/>
                <w:u w:val="single"/>
              </w:rPr>
              <w:t>Official Board Markets</w:t>
            </w:r>
            <w:r>
              <w:rPr>
                <w:color w:val="000000"/>
                <w:sz w:val="22"/>
              </w:rPr>
              <w:t xml:space="preserve">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spacing w:lineRule="atLeast" w:line="240"/>
              <w:ind w:start="72" w:end="90"/>
              <w:jc w:val="both"/>
              <w:rPr/>
            </w:pPr>
            <w:r>
              <w:rPr>
                <w:color w:val="000000"/>
                <w:sz w:val="22"/>
              </w:rPr>
              <w:t xml:space="preserve">Date of publication of </w:t>
            </w:r>
            <w:r>
              <w:rPr>
                <w:color w:val="000000"/>
                <w:sz w:val="22"/>
                <w:u w:val="single"/>
              </w:rPr>
              <w:t>Official Board Markets</w:t>
            </w:r>
            <w:r>
              <w:rPr>
                <w:color w:val="000000"/>
                <w:sz w:val="22"/>
              </w:rPr>
              <w:t xml:space="preserve"> (the second issue of each month), or any successor publication, published by Official Board Markets or its successor (such publication, </w:t>
            </w:r>
            <w:r>
              <w:rPr>
                <w:color w:val="000000"/>
                <w:sz w:val="22"/>
                <w:u w:val="single"/>
              </w:rPr>
              <w:t>“Official Board Markets”)</w:t>
            </w:r>
            <w:r>
              <w:rPr>
                <w:color w:val="000000"/>
                <w:sz w:val="22"/>
              </w:rPr>
              <w:t xml:space="preserve"> for the applicable Calculation Period</w:t>
            </w:r>
          </w:p>
        </w:tc>
      </w:tr>
      <w:tr>
        <w:trPr/>
        <w:tc>
          <w:tcPr>
            <w:tcW w:w="4788" w:type="dxa"/>
            <w:tcBorders/>
          </w:tcPr>
          <w:p>
            <w:pPr>
              <w:pStyle w:val="Normal"/>
              <w:widowControl/>
              <w:snapToGrid w:val="false"/>
              <w:ind w:firstLine="720" w:end="0"/>
              <w:jc w:val="both"/>
              <w:rPr>
                <w:color w:val="000000"/>
                <w:sz w:val="22"/>
              </w:rPr>
            </w:pPr>
            <w:r>
              <w:rPr>
                <w:color w:val="000000"/>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pPr>
            <w:r>
              <w:rPr>
                <w:color w:val="000000"/>
                <w:sz w:val="22"/>
              </w:rPr>
              <w:t xml:space="preserve">The Fallback Reference Price for each Calculation Period shall be the price per Short Ton of Old Corrugated Containers #11, stated in U.S. Dollars per Short Ton, published under the headings “Table 2: Recovered Paper Monthly Price Summary: U.S. Recovered Paper: Dollars per Short Ton: Corrugated: OCC (11)” in the issue of </w:t>
            </w:r>
            <w:r>
              <w:rPr>
                <w:color w:val="000000"/>
                <w:sz w:val="22"/>
                <w:u w:val="single"/>
              </w:rPr>
              <w:t>Recovered Materials Monitor,</w:t>
            </w:r>
            <w:r>
              <w:rPr>
                <w:color w:val="000000"/>
                <w:sz w:val="22"/>
              </w:rPr>
              <w:t xml:space="preserve"> or its successor publication, as published by Resource Information Systems, Inc. (or its successor) that reports prices effective on the Pricing Date for such Calculation Period, plus U.S. $2.00 per Short Ton.</w:t>
            </w:r>
          </w:p>
          <w:p>
            <w:pPr>
              <w:pStyle w:val="Normal"/>
              <w:widowControl/>
              <w:jc w:val="both"/>
              <w:rPr>
                <w:color w:val="000000"/>
                <w:sz w:val="22"/>
              </w:rPr>
            </w:pPr>
            <w:r>
              <w:rPr>
                <w:color w:val="000000"/>
                <w:sz w:val="22"/>
              </w:rPr>
            </w:r>
          </w:p>
        </w:tc>
      </w:tr>
      <w:tr>
        <w:trPr/>
        <w:tc>
          <w:tcPr>
            <w:tcW w:w="4788" w:type="dxa"/>
            <w:tcBorders/>
          </w:tcPr>
          <w:p>
            <w:pPr>
              <w:pStyle w:val="Normal"/>
              <w:widowControl/>
              <w:jc w:val="both"/>
              <w:rPr>
                <w:b/>
                <w:sz w:val="22"/>
                <w:u w:val="single"/>
              </w:rPr>
            </w:pPr>
            <w:r>
              <w:rPr>
                <w:b/>
                <w:sz w:val="22"/>
                <w:u w:val="single"/>
              </w:rPr>
              <w:t>Other Provisions:</w:t>
            </w:r>
          </w:p>
        </w:tc>
        <w:tc>
          <w:tcPr>
            <w:tcW w:w="4788" w:type="dxa"/>
            <w:tcBorders/>
          </w:tcPr>
          <w:p>
            <w:pPr>
              <w:pStyle w:val="Normal"/>
              <w:jc w:val="both"/>
              <w:rPr/>
            </w:pPr>
            <w:r>
              <w:rPr>
                <w:spacing w:val="-4"/>
                <w:sz w:val="22"/>
              </w:rPr>
              <w:t xml:space="preserve">The parties hereto agree that on </w:t>
            </w:r>
            <w:r>
              <w:rPr>
                <w:b/>
                <w:color w:val="FF0000"/>
                <w:spacing w:val="-4"/>
                <w:sz w:val="22"/>
              </w:rPr>
              <w:t xml:space="preserve">November 30, 2004 (the “Automatic Termination Date”) </w:t>
            </w:r>
            <w:r>
              <w:rPr>
                <w:spacing w:val="-4"/>
                <w:sz w:val="22"/>
              </w:rPr>
              <w:t xml:space="preserve">this Transaction shall terminate on such date without further action or payment required by either party; </w:t>
            </w:r>
            <w:r>
              <w:rPr>
                <w:spacing w:val="-4"/>
                <w:sz w:val="22"/>
                <w:u w:val="single"/>
              </w:rPr>
              <w:t>provided</w:t>
            </w:r>
            <w:r>
              <w:rPr>
                <w:spacing w:val="-4"/>
                <w:sz w:val="22"/>
              </w:rPr>
              <w:t>, however, on any Business Day from November 1, 2004 to and including November 30, 2004, Party A may, by giving telephonic notice to Party B no later than 5:00 p.m. (CST) on such day (the “Notice Date”) designate that this Automatic Termination Provision shall not apply to this Transaction.</w:t>
            </w:r>
            <w:r>
              <w:rPr>
                <w:color w:val="FF0000"/>
                <w:spacing w:val="-4"/>
                <w:sz w:val="22"/>
              </w:rPr>
              <w:t xml:space="preserve"> </w:t>
            </w:r>
            <w:r>
              <w:rPr>
                <w:spacing w:val="-4"/>
                <w:sz w:val="22"/>
              </w:rPr>
              <w:t>Party A shall execute a written confirmation (including by facsimile transmission) confirming the substance of such telephonic notice and deliver same to Party B one Business Day following the Notice Date, provided however, that failure to deliver such written confirmation within the specified time period shall in no way affect or suspend the validity of the telephonic notice.</w:t>
            </w:r>
          </w:p>
          <w:p>
            <w:pPr>
              <w:pStyle w:val="Normal"/>
              <w:widowControl/>
              <w:jc w:val="both"/>
              <w:rPr>
                <w:color w:val="000000"/>
                <w:spacing w:val="-4"/>
                <w:sz w:val="22"/>
              </w:rPr>
            </w:pPr>
            <w:r>
              <w:rPr>
                <w:color w:val="000000"/>
                <w:spacing w:val="-4"/>
                <w:sz w:val="22"/>
              </w:rPr>
            </w:r>
          </w:p>
        </w:tc>
      </w:tr>
    </w:tbl>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ind w:firstLine="720" w:end="0"/>
        <w:jc w:val="both"/>
        <w:rPr>
          <w:sz w:val="22"/>
        </w:rPr>
      </w:pPr>
      <w:r>
        <w:rPr>
          <w:sz w:val="22"/>
        </w:rPr>
        <w:t>Enron North America Corp. is pleased to have entered into this Transaction with you.</w:t>
      </w:r>
    </w:p>
    <w:p>
      <w:pPr>
        <w:pStyle w:val="Normal"/>
        <w:widowControl/>
        <w:ind w:firstLine="720" w:end="0"/>
        <w:jc w:val="both"/>
        <w:rPr>
          <w:sz w:val="22"/>
        </w:rPr>
      </w:pPr>
      <w:r>
        <w:rPr>
          <w:sz w:val="22"/>
        </w:rPr>
      </w:r>
    </w:p>
    <w:p>
      <w:pPr>
        <w:pStyle w:val="Normal"/>
        <w:rPr>
          <w:sz w:val="22"/>
        </w:rPr>
      </w:pPr>
      <w:r>
        <w:rPr>
          <w:sz w:val="22"/>
        </w:rPr>
      </w:r>
    </w:p>
    <w:p>
      <w:pPr>
        <w:pStyle w:val="BodyTextIndent"/>
        <w:tabs>
          <w:tab w:val="clear" w:pos="720"/>
          <w:tab w:val="left" w:pos="810" w:leader="none"/>
          <w:tab w:val="left" w:pos="4320" w:leader="none"/>
        </w:tabs>
        <w:ind w:hanging="0" w:end="0"/>
        <w:rPr/>
      </w:pPr>
      <w:r>
        <w:rPr/>
        <w:t>Sincerely,</w:t>
      </w:r>
    </w:p>
    <w:p>
      <w:pPr>
        <w:pStyle w:val="BodyTextIndent"/>
        <w:tabs>
          <w:tab w:val="clear" w:pos="720"/>
          <w:tab w:val="left" w:pos="810" w:leader="none"/>
          <w:tab w:val="left" w:pos="4320" w:leader="none"/>
        </w:tabs>
        <w:rPr/>
      </w:pPr>
      <w:r>
        <w:rPr/>
      </w:r>
    </w:p>
    <w:p>
      <w:pPr>
        <w:pStyle w:val="BodyTextIndent"/>
        <w:tabs>
          <w:tab w:val="clear" w:pos="720"/>
          <w:tab w:val="left" w:pos="810" w:leader="none"/>
          <w:tab w:val="left" w:pos="5040" w:leader="none"/>
        </w:tabs>
        <w:ind w:hanging="0" w:end="0"/>
        <w:rPr/>
      </w:pPr>
      <w:r>
        <w:rPr/>
        <w:t xml:space="preserve">Enron North America Corp. </w:t>
        <w:tab/>
        <w:t>Waste Management, Inc.</w:t>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 w:val="left" w:pos="5040" w:leader="none"/>
        </w:tabs>
        <w:ind w:hanging="0" w:end="0"/>
        <w:rPr/>
      </w:pPr>
      <w:r>
        <w:rPr/>
        <w:t>By: _________________________</w:t>
        <w:tab/>
        <w:tab/>
        <w:t>By:  ________________________</w:t>
        <w:tab/>
      </w:r>
    </w:p>
    <w:p>
      <w:pPr>
        <w:pStyle w:val="BodyTextIndent"/>
        <w:tabs>
          <w:tab w:val="clear" w:pos="720"/>
          <w:tab w:val="left" w:pos="810" w:leader="none"/>
          <w:tab w:val="left" w:pos="4140" w:leader="none"/>
          <w:tab w:val="left" w:pos="5040" w:leader="none"/>
        </w:tabs>
        <w:ind w:hanging="0" w:end="0"/>
        <w:rPr/>
      </w:pPr>
      <w:r>
        <w:rPr/>
        <w:t>Name: _______________________</w:t>
        <w:tab/>
        <w:tab/>
        <w:t>Name: ______________________</w:t>
      </w:r>
    </w:p>
    <w:p>
      <w:pPr>
        <w:pStyle w:val="BodyTextIndent"/>
        <w:tabs>
          <w:tab w:val="clear" w:pos="720"/>
          <w:tab w:val="left" w:pos="810" w:leader="none"/>
          <w:tab w:val="left" w:pos="4140" w:leader="none"/>
          <w:tab w:val="left" w:pos="5040" w:leader="none"/>
        </w:tabs>
        <w:ind w:hanging="0" w:end="0"/>
        <w:rPr/>
      </w:pPr>
      <w:r>
        <w:rPr/>
        <w:t>Title: ________________________</w:t>
        <w:tab/>
        <w:tab/>
        <w:t>Title: _______________________</w:t>
      </w:r>
    </w:p>
    <w:p>
      <w:pPr>
        <w:pStyle w:val="Normal"/>
        <w:widowControl/>
        <w:ind w:firstLine="720" w:end="0"/>
        <w:jc w:val="both"/>
        <w:rPr>
          <w:sz w:val="22"/>
        </w:rPr>
      </w:pPr>
      <w:r>
        <w:rPr>
          <w:sz w:val="22"/>
        </w:rPr>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Deal No. N2196.1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1999-09-28T12:04:00Z</dcterms:created>
  <dc:creator>Enron</dc:creator>
  <dc:description/>
  <dc:language>en-CA</dc:language>
  <cp:lastModifiedBy>jcyprow</cp:lastModifiedBy>
  <cp:lastPrinted>1999-05-28T13:30:00Z</cp:lastPrinted>
  <dcterms:modified xsi:type="dcterms:W3CDTF">1999-09-28T17:14:00Z</dcterms:modified>
  <cp:revision>11</cp:revision>
  <dc:subject/>
  <dc:title>[ECT LETTERHEAD]</dc:title>
</cp:coreProperties>
</file>