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914525" cy="5619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64" r="-19" b="-64"/>
                    <a:stretch>
                      <a:fillRect/>
                    </a:stretch>
                  </pic:blipFill>
                  <pic:spPr bwMode="auto">
                    <a:xfrm>
                      <a:off x="0" y="0"/>
                      <a:ext cx="1914525" cy="561975"/>
                    </a:xfrm>
                    <a:prstGeom prst="rect">
                      <a:avLst/>
                    </a:prstGeom>
                    <a:noFill/>
                  </pic:spPr>
                </pic:pic>
              </a:graphicData>
            </a:graphic>
          </wp:inline>
        </w:drawing>
      </w:r>
    </w:p>
    <w:p>
      <w:pPr>
        <w:pStyle w:val="Normal"/>
        <w:rPr>
          <w:sz w:val="22"/>
          <w:szCs w:val="22"/>
        </w:rPr>
      </w:pPr>
      <w:r>
        <w:rPr>
          <w:sz w:val="22"/>
          <w:szCs w:val="22"/>
        </w:rPr>
        <w:t>August 22, 2001</w:t>
      </w:r>
    </w:p>
    <w:p>
      <w:pPr>
        <w:pStyle w:val="Normal"/>
        <w:rPr>
          <w:sz w:val="22"/>
          <w:szCs w:val="22"/>
        </w:rPr>
      </w:pPr>
      <w:r>
        <w:rPr>
          <w:sz w:val="22"/>
          <w:szCs w:val="22"/>
        </w:rPr>
      </w:r>
    </w:p>
    <w:p>
      <w:pPr>
        <w:pStyle w:val="Normal"/>
        <w:rPr>
          <w:sz w:val="22"/>
          <w:szCs w:val="22"/>
        </w:rPr>
      </w:pPr>
      <w:r>
        <w:rPr>
          <w:sz w:val="22"/>
          <w:szCs w:val="22"/>
        </w:rPr>
        <w:t>Letter To The Editor</w:t>
      </w:r>
    </w:p>
    <w:p>
      <w:pPr>
        <w:pStyle w:val="Normal"/>
        <w:rPr>
          <w:sz w:val="22"/>
          <w:szCs w:val="22"/>
        </w:rPr>
      </w:pPr>
      <w:r>
        <w:rPr>
          <w:sz w:val="22"/>
          <w:szCs w:val="22"/>
        </w:rPr>
        <w:t>The Washington Post</w:t>
      </w:r>
    </w:p>
    <w:p>
      <w:pPr>
        <w:pStyle w:val="Normal"/>
        <w:rPr/>
      </w:pPr>
      <w:r>
        <w:rPr>
          <w:sz w:val="22"/>
          <w:szCs w:val="22"/>
        </w:rPr>
        <w:t>1150 15</w:t>
      </w:r>
      <w:r>
        <w:rPr>
          <w:sz w:val="22"/>
          <w:szCs w:val="22"/>
          <w:vertAlign w:val="superscript"/>
        </w:rPr>
        <w:t>th</w:t>
      </w:r>
      <w:r>
        <w:rPr>
          <w:sz w:val="22"/>
          <w:szCs w:val="22"/>
        </w:rPr>
        <w:t xml:space="preserve"> Street, NW</w:t>
      </w:r>
    </w:p>
    <w:p>
      <w:pPr>
        <w:pStyle w:val="Normal"/>
        <w:rPr>
          <w:sz w:val="22"/>
          <w:szCs w:val="22"/>
        </w:rPr>
      </w:pPr>
      <w:r>
        <w:rPr>
          <w:sz w:val="22"/>
          <w:szCs w:val="22"/>
        </w:rPr>
        <w:t>Washington, DC  20071</w:t>
      </w:r>
    </w:p>
    <w:p>
      <w:pPr>
        <w:pStyle w:val="Normal"/>
        <w:rPr>
          <w:sz w:val="22"/>
          <w:szCs w:val="22"/>
        </w:rPr>
      </w:pPr>
      <w:r>
        <w:rPr>
          <w:sz w:val="22"/>
          <w:szCs w:val="22"/>
        </w:rPr>
      </w:r>
    </w:p>
    <w:p>
      <w:pPr>
        <w:pStyle w:val="Normal"/>
        <w:rPr>
          <w:sz w:val="22"/>
          <w:szCs w:val="22"/>
        </w:rPr>
      </w:pPr>
      <w:r>
        <w:rPr>
          <w:sz w:val="22"/>
          <w:szCs w:val="22"/>
        </w:rPr>
        <w:t>Dear Editor:</w:t>
      </w:r>
    </w:p>
    <w:p>
      <w:pPr>
        <w:pStyle w:val="Normal"/>
        <w:rPr>
          <w:sz w:val="22"/>
          <w:szCs w:val="22"/>
        </w:rPr>
      </w:pPr>
      <w:r>
        <w:rPr>
          <w:sz w:val="22"/>
          <w:szCs w:val="22"/>
        </w:rPr>
      </w:r>
    </w:p>
    <w:p>
      <w:pPr>
        <w:pStyle w:val="Normal"/>
        <w:rPr/>
      </w:pPr>
      <w:r>
        <w:rPr>
          <w:sz w:val="22"/>
          <w:szCs w:val="22"/>
        </w:rPr>
        <w:t xml:space="preserve">Blackouts, rising electricity prices, market abuse, oh my …. While the </w:t>
      </w:r>
      <w:r>
        <w:rPr>
          <w:i/>
          <w:sz w:val="22"/>
          <w:szCs w:val="22"/>
        </w:rPr>
        <w:t>Washington Post’s</w:t>
      </w:r>
      <w:r>
        <w:rPr>
          <w:sz w:val="22"/>
          <w:szCs w:val="22"/>
        </w:rPr>
        <w:t xml:space="preserve"> three-part series on electricity restructuring [August 21, 22 and 23] made for  interesting reading, as all good chicken-little reporting does, the boring fact that competition in the electricity market is already bringing benefits to consumers in many parts of the country was completely missed.</w:t>
      </w:r>
    </w:p>
    <w:p>
      <w:pPr>
        <w:pStyle w:val="Normal"/>
        <w:rPr>
          <w:sz w:val="22"/>
          <w:szCs w:val="22"/>
        </w:rPr>
      </w:pPr>
      <w:r>
        <w:rPr>
          <w:sz w:val="22"/>
          <w:szCs w:val="22"/>
        </w:rPr>
      </w:r>
    </w:p>
    <w:p>
      <w:pPr>
        <w:pStyle w:val="Normal"/>
        <w:rPr>
          <w:sz w:val="22"/>
          <w:szCs w:val="22"/>
        </w:rPr>
      </w:pPr>
      <w:r>
        <w:rPr>
          <w:sz w:val="22"/>
          <w:szCs w:val="22"/>
        </w:rPr>
        <w:t xml:space="preserve">Going back to 1997, CAEM’s Retail Energy Deregulation (RED) Index, a scorecard of twenty-two attributes measuring how the states are doing in regard to opening their gas and electric markets, tells a very different story.  </w:t>
      </w:r>
    </w:p>
    <w:p>
      <w:pPr>
        <w:pStyle w:val="Normal"/>
        <w:rPr>
          <w:sz w:val="22"/>
          <w:szCs w:val="22"/>
        </w:rPr>
      </w:pPr>
      <w:r>
        <w:rPr>
          <w:sz w:val="22"/>
          <w:szCs w:val="22"/>
        </w:rPr>
      </w:r>
    </w:p>
    <w:p>
      <w:pPr>
        <w:pStyle w:val="Normal"/>
        <w:rPr/>
      </w:pPr>
      <w:r>
        <w:rPr>
          <w:sz w:val="22"/>
          <w:szCs w:val="22"/>
        </w:rPr>
        <w:t xml:space="preserve">The top three competition states in the RED Index – Pennsylvania, Texas and New York – have done the most to get it right.  And their consumers have benefited from the leadership shown in these states.  The State of Pennsylvania, for example, predicts that 36,000 jobs have or will be created by 2004, real state gross product will be almost $2 billion higher, and nominal personal income will increase by $1.4 billion.  We estimate that Texas will do even better once its market more fully opens at the end of the year.   </w:t>
      </w:r>
    </w:p>
    <w:p>
      <w:pPr>
        <w:pStyle w:val="Normal"/>
        <w:rPr>
          <w:sz w:val="22"/>
          <w:szCs w:val="22"/>
        </w:rPr>
      </w:pPr>
      <w:r>
        <w:rPr>
          <w:sz w:val="22"/>
          <w:szCs w:val="22"/>
        </w:rPr>
      </w:r>
    </w:p>
    <w:p>
      <w:pPr>
        <w:pStyle w:val="Normal"/>
        <w:rPr/>
      </w:pPr>
      <w:r>
        <w:rPr>
          <w:sz w:val="22"/>
          <w:szCs w:val="22"/>
        </w:rPr>
        <w:t xml:space="preserve">This is just the beginning, folks.  One only has to closely examine deregulation of the natural gas industry, an industry today that is similar to and almost indistinguishable from the electric industry, to realize the potential consumer benefits that will come with real competition.  </w:t>
      </w:r>
    </w:p>
    <w:p>
      <w:pPr>
        <w:pStyle w:val="Normal"/>
        <w:rPr>
          <w:sz w:val="22"/>
          <w:szCs w:val="22"/>
        </w:rPr>
      </w:pPr>
      <w:r>
        <w:rPr>
          <w:sz w:val="22"/>
          <w:szCs w:val="22"/>
        </w:rPr>
      </w:r>
    </w:p>
    <w:p>
      <w:pPr>
        <w:pStyle w:val="Normal"/>
        <w:rPr/>
      </w:pPr>
      <w:r>
        <w:rPr>
          <w:sz w:val="22"/>
          <w:szCs w:val="22"/>
        </w:rPr>
        <w:t>CAEM’s recent study on the benefits of natural gas deregulation (</w:t>
      </w:r>
      <w:hyperlink r:id="rId3">
        <w:r>
          <w:rPr>
            <w:rStyle w:val="Hyperlink"/>
            <w:sz w:val="22"/>
            <w:szCs w:val="22"/>
          </w:rPr>
          <w:t>www.caem.org</w:t>
        </w:r>
      </w:hyperlink>
      <w:r>
        <w:rPr>
          <w:sz w:val="22"/>
          <w:szCs w:val="22"/>
        </w:rPr>
        <w:t xml:space="preserve">) shows that each and every American household saved $6,000 since the 1980s.  Put another way, this is over $300 per year for a family to buy school books, insurance, and other necessities of life.        </w:t>
      </w:r>
    </w:p>
    <w:p>
      <w:pPr>
        <w:pStyle w:val="Normal"/>
        <w:rPr>
          <w:sz w:val="22"/>
          <w:szCs w:val="22"/>
        </w:rPr>
      </w:pPr>
      <w:r>
        <w:rPr>
          <w:sz w:val="22"/>
          <w:szCs w:val="22"/>
        </w:rPr>
      </w:r>
    </w:p>
    <w:p>
      <w:pPr>
        <w:pStyle w:val="Normal"/>
        <w:rPr/>
      </w:pPr>
      <w:r>
        <w:rPr>
          <w:sz w:val="22"/>
          <w:szCs w:val="22"/>
        </w:rPr>
        <w:t>While Steven Pearlstein [August 21] makes some good recommendations on how to fix some of the current problems with restructuring, it is important to stay the course on reforming the electric industry.  Competition is working for consumers.</w:t>
      </w:r>
    </w:p>
    <w:p>
      <w:pPr>
        <w:pStyle w:val="Normal"/>
        <w:rPr>
          <w:sz w:val="22"/>
          <w:szCs w:val="22"/>
        </w:rPr>
      </w:pPr>
      <w:r>
        <w:rPr>
          <w:sz w:val="22"/>
          <w:szCs w:val="22"/>
        </w:rPr>
      </w:r>
    </w:p>
    <w:p>
      <w:pPr>
        <w:pStyle w:val="Normal"/>
        <w:rPr>
          <w:sz w:val="22"/>
          <w:szCs w:val="22"/>
        </w:rPr>
      </w:pPr>
      <w:r>
        <w:rPr>
          <w:sz w:val="22"/>
          <w:szCs w:val="22"/>
        </w:rPr>
        <w:t>Sincerely,</w:t>
      </w:r>
    </w:p>
    <w:p>
      <w:pPr>
        <w:pStyle w:val="Normal"/>
        <w:rPr>
          <w:sz w:val="22"/>
          <w:szCs w:val="22"/>
        </w:rPr>
      </w:pPr>
      <w:r>
        <w:rPr>
          <w:sz w:val="22"/>
          <w:szCs w:val="22"/>
        </w:rPr>
      </w:r>
    </w:p>
    <w:p>
      <w:pPr>
        <w:pStyle w:val="Normal"/>
        <w:rPr>
          <w:sz w:val="22"/>
          <w:szCs w:val="22"/>
        </w:rPr>
      </w:pPr>
      <w:r>
        <w:rPr>
          <w:sz w:val="22"/>
          <w:szCs w:val="22"/>
        </w:rPr>
        <w:t>Jamie Wimberly</w:t>
      </w:r>
    </w:p>
    <w:p>
      <w:pPr>
        <w:pStyle w:val="Normal"/>
        <w:rPr>
          <w:sz w:val="22"/>
          <w:szCs w:val="22"/>
        </w:rPr>
      </w:pPr>
      <w:r>
        <w:rPr>
          <w:sz w:val="22"/>
          <w:szCs w:val="22"/>
        </w:rPr>
        <w:t>President</w:t>
      </w:r>
    </w:p>
    <w:p>
      <w:pPr>
        <w:pStyle w:val="Normal"/>
        <w:rPr>
          <w:sz w:val="22"/>
          <w:szCs w:val="22"/>
        </w:rPr>
      </w:pPr>
      <w:r>
        <w:rPr>
          <w:sz w:val="22"/>
          <w:szCs w:val="22"/>
        </w:rPr>
      </w:r>
    </w:p>
    <w:p>
      <w:pPr>
        <w:pStyle w:val="Normal"/>
        <w:rPr/>
      </w:pPr>
      <w:r>
        <w:rPr>
          <w:sz w:val="22"/>
          <w:szCs w:val="22"/>
        </w:rPr>
        <w:t>Center For The Advancement Of Energy Markets (CAEM)</w:t>
      </w:r>
    </w:p>
    <w:p>
      <w:pPr>
        <w:pStyle w:val="Normal"/>
        <w:rPr>
          <w:sz w:val="22"/>
          <w:szCs w:val="22"/>
        </w:rPr>
      </w:pPr>
      <w:r>
        <w:rPr>
          <w:sz w:val="22"/>
          <w:szCs w:val="22"/>
        </w:rPr>
        <w:t>1101 Connecticut Avenue, NW, Suite 1200, Washington, DC 20036</w:t>
      </w:r>
    </w:p>
    <w:p>
      <w:pPr>
        <w:pStyle w:val="Normal"/>
        <w:rPr>
          <w:sz w:val="22"/>
          <w:szCs w:val="22"/>
        </w:rPr>
      </w:pPr>
      <w:r>
        <w:rPr>
          <w:sz w:val="22"/>
          <w:szCs w:val="22"/>
        </w:rPr>
        <w:t>Office:  (202) 739-0134</w:t>
      </w:r>
    </w:p>
    <w:p>
      <w:pPr>
        <w:pStyle w:val="Normal"/>
        <w:rPr>
          <w:sz w:val="22"/>
          <w:szCs w:val="22"/>
        </w:rPr>
      </w:pPr>
      <w:r>
        <w:rPr>
          <w:sz w:val="22"/>
          <w:szCs w:val="22"/>
        </w:rPr>
        <w:t>Home:  (202) 483-4443</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aem.org/"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2001-08-22T10:25:00Z</dcterms:created>
  <dc:creator>Jamie Wimberly</dc:creator>
  <dc:description/>
  <dc:language>en-CA</dc:language>
  <cp:lastModifiedBy>Jamie Wimberly</cp:lastModifiedBy>
  <dcterms:modified xsi:type="dcterms:W3CDTF">2001-08-22T13:06:00Z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-1288204131</vt:r8>
  </property>
  <property fmtid="{D5CDD505-2E9C-101B-9397-08002B2CF9AE}" pid="3" name="_AuthorEmail">
    <vt:lpwstr>Benjamin.Wimberly@Verizon.net</vt:lpwstr>
  </property>
  <property fmtid="{D5CDD505-2E9C-101B-9397-08002B2CF9AE}" pid="4" name="_AuthorEmailDisplayName">
    <vt:lpwstr>Jamie Wimberly</vt:lpwstr>
  </property>
  <property fmtid="{D5CDD505-2E9C-101B-9397-08002B2CF9AE}" pid="5" name="_EmailSubject">
    <vt:lpwstr>Letters -- Jamie Wimberly</vt:lpwstr>
  </property>
</Properties>
</file>