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rPr/>
      </w:pPr>
      <w:r>
        <w:rPr/>
        <w:drawing>
          <wp:inline distT="0" distB="0" distL="0" distR="0">
            <wp:extent cx="1457960" cy="8375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29" r="-16" b="-29"/>
                    <a:stretch>
                      <a:fillRect/>
                    </a:stretch>
                  </pic:blipFill>
                  <pic:spPr bwMode="auto">
                    <a:xfrm>
                      <a:off x="0" y="0"/>
                      <a:ext cx="1457960" cy="837565"/>
                    </a:xfrm>
                    <a:prstGeom prst="rect">
                      <a:avLst/>
                    </a:prstGeom>
                    <a:noFill/>
                  </pic:spPr>
                </pic:pic>
              </a:graphicData>
            </a:graphic>
          </wp:inline>
        </w:drawing>
      </w:r>
      <w:r>
        <w:rPr/>
        <w:t>Lighthouse Energy Group, LLC</w:t>
        <w:tab/>
      </w:r>
    </w:p>
    <w:p>
      <w:pPr>
        <w:pStyle w:val="Normal"/>
        <w:pBdr>
          <w:bottom w:val="single" w:sz="12" w:space="1" w:color="000000"/>
        </w:pBdr>
        <w:tabs>
          <w:tab w:val="clear" w:pos="720"/>
          <w:tab w:val="right" w:pos="8640" w:leader="none"/>
        </w:tabs>
        <w:rPr>
          <w:rFonts w:ascii="Century Gothic" w:hAnsi="Century Gothic" w:cs="Century Gothic"/>
        </w:rPr>
      </w:pPr>
      <w:r>
        <w:rPr>
          <w:rFonts w:cs="Century Gothic" w:ascii="Century Gothic" w:hAnsi="Century Gothic"/>
        </w:rPr>
        <w:tab/>
      </w:r>
    </w:p>
    <w:p>
      <w:pPr>
        <w:pStyle w:val="Normal"/>
        <w:tabs>
          <w:tab w:val="clear" w:pos="720"/>
          <w:tab w:val="right" w:pos="8640" w:leader="none"/>
        </w:tabs>
        <w:rPr>
          <w:rFonts w:ascii="Century Gothic" w:hAnsi="Century Gothic" w:cs="Century Gothic"/>
        </w:rPr>
      </w:pPr>
      <w:r>
        <w:rPr>
          <w:rFonts w:cs="Century Gothic" w:ascii="Century Gothic" w:hAnsi="Century Gothic"/>
        </w:rPr>
      </w:r>
    </w:p>
    <w:p>
      <w:pPr>
        <w:pStyle w:val="Normal"/>
        <w:tabs>
          <w:tab w:val="clear" w:pos="720"/>
          <w:tab w:val="right" w:pos="8640" w:leader="none"/>
        </w:tabs>
        <w:rPr>
          <w:b/>
        </w:rPr>
      </w:pPr>
      <w:r>
        <w:rPr>
          <w:b/>
        </w:rPr>
        <w:t>MEMORANDUM</w:t>
        <w:tab/>
      </w:r>
      <w:r>
        <w:rPr/>
        <w:t>October 26, 2001</w:t>
      </w:r>
    </w:p>
    <w:p>
      <w:pPr>
        <w:pStyle w:val="Normal"/>
        <w:tabs>
          <w:tab w:val="clear" w:pos="720"/>
          <w:tab w:val="right" w:pos="8640" w:leader="none"/>
        </w:tabs>
        <w:rPr>
          <w:b/>
        </w:rPr>
      </w:pPr>
      <w:r>
        <w:rPr>
          <w:b/>
        </w:rPr>
      </w:r>
    </w:p>
    <w:p>
      <w:pPr>
        <w:pStyle w:val="Normal"/>
        <w:tabs>
          <w:tab w:val="left" w:pos="720" w:leader="none"/>
          <w:tab w:val="right" w:pos="8640" w:leader="none"/>
        </w:tabs>
        <w:rPr/>
      </w:pPr>
      <w:r>
        <w:rPr/>
        <w:t>To:</w:t>
        <w:tab/>
        <w:t>Lighthouse Clients and Friends</w:t>
      </w:r>
    </w:p>
    <w:p>
      <w:pPr>
        <w:pStyle w:val="Normal"/>
        <w:tabs>
          <w:tab w:val="left" w:pos="720" w:leader="none"/>
          <w:tab w:val="right" w:pos="8640" w:leader="none"/>
        </w:tabs>
        <w:rPr/>
      </w:pPr>
      <w:r>
        <w:rPr/>
      </w:r>
    </w:p>
    <w:p>
      <w:pPr>
        <w:pStyle w:val="Normal"/>
        <w:tabs>
          <w:tab w:val="left" w:pos="720" w:leader="none"/>
          <w:tab w:val="right" w:pos="8640" w:leader="none"/>
        </w:tabs>
        <w:rPr/>
      </w:pPr>
      <w:r>
        <w:rPr/>
        <w:t>Fr:</w:t>
        <w:tab/>
        <w:t>Merribel Ayres and Tobyn Anderson</w:t>
      </w:r>
    </w:p>
    <w:p>
      <w:pPr>
        <w:pStyle w:val="Normal"/>
        <w:tabs>
          <w:tab w:val="left" w:pos="720" w:leader="none"/>
          <w:tab w:val="right" w:pos="8640" w:leader="none"/>
        </w:tabs>
        <w:rPr/>
      </w:pPr>
      <w:r>
        <w:rPr/>
      </w:r>
    </w:p>
    <w:p>
      <w:pPr>
        <w:pStyle w:val="Normal"/>
        <w:tabs>
          <w:tab w:val="left" w:pos="720" w:leader="none"/>
          <w:tab w:val="right" w:pos="8640" w:leader="none"/>
        </w:tabs>
        <w:rPr/>
      </w:pPr>
      <w:r>
        <w:rPr/>
        <w:t>RE:</w:t>
        <w:tab/>
      </w:r>
      <w:r>
        <w:rPr>
          <w:b/>
          <w:bCs/>
          <w:i/>
          <w:iCs/>
        </w:rPr>
        <w:t>Update VII – Post-Terrorist Attack: Washington Outlook</w:t>
      </w:r>
    </w:p>
    <w:p>
      <w:pPr>
        <w:pStyle w:val="Normal"/>
        <w:pBdr>
          <w:bottom w:val="single" w:sz="6" w:space="1" w:color="000000"/>
        </w:pBdr>
        <w:tabs>
          <w:tab w:val="left" w:pos="720" w:leader="none"/>
          <w:tab w:val="right" w:pos="8640" w:leader="none"/>
        </w:tabs>
        <w:rPr/>
      </w:pPr>
      <w:r>
        <w:rPr/>
      </w:r>
    </w:p>
    <w:p>
      <w:pPr>
        <w:pStyle w:val="Normal"/>
        <w:tabs>
          <w:tab w:val="left" w:pos="720" w:leader="none"/>
          <w:tab w:val="right" w:pos="8640" w:leader="none"/>
        </w:tabs>
        <w:rPr/>
      </w:pPr>
      <w:r>
        <w:rPr/>
      </w:r>
    </w:p>
    <w:p>
      <w:pPr>
        <w:pStyle w:val="Normal"/>
        <w:tabs>
          <w:tab w:val="left" w:pos="720" w:leader="none"/>
          <w:tab w:val="right" w:pos="8640" w:leader="none"/>
        </w:tabs>
        <w:rPr/>
      </w:pPr>
      <w:r>
        <w:rPr/>
        <w:t>Congress struggled mightily this week to conduct business in the wake of continued concerns over anthrax contamination.  Although the House and Senate continued to meet, most of the Capitol Hill office buildings remained closed.  The Hart Senate Office Building, which houses Senate Majority Leader Tom Daschle’s (D-SD) primary office, may not reopen until well into next week.</w:t>
      </w:r>
    </w:p>
    <w:p>
      <w:pPr>
        <w:pStyle w:val="Normal"/>
        <w:tabs>
          <w:tab w:val="left" w:pos="720" w:leader="none"/>
          <w:tab w:val="right" w:pos="8640" w:leader="none"/>
        </w:tabs>
        <w:rPr/>
      </w:pPr>
      <w:r>
        <w:rPr/>
      </w:r>
    </w:p>
    <w:p>
      <w:pPr>
        <w:pStyle w:val="Heading1"/>
        <w:ind w:hanging="0" w:start="0"/>
        <w:rPr/>
      </w:pPr>
      <w:r>
        <w:rPr/>
        <w:t>House Passes Stimulus Package</w:t>
      </w:r>
    </w:p>
    <w:p>
      <w:pPr>
        <w:pStyle w:val="Normal"/>
        <w:tabs>
          <w:tab w:val="left" w:pos="720" w:leader="none"/>
          <w:tab w:val="right" w:pos="8640" w:leader="none"/>
        </w:tabs>
        <w:rPr/>
      </w:pPr>
      <w:r>
        <w:rPr/>
      </w:r>
    </w:p>
    <w:p>
      <w:pPr>
        <w:pStyle w:val="Normal"/>
        <w:tabs>
          <w:tab w:val="left" w:pos="720" w:leader="none"/>
          <w:tab w:val="right" w:pos="8640" w:leader="none"/>
        </w:tabs>
        <w:rPr/>
      </w:pPr>
      <w:r>
        <w:rPr/>
        <w:t>By the slimmest of margins (216-214), the House passed a $100 billion economic stimulus package.  The bipartisan spirit that has guided Congress since Sept. 11</w:t>
      </w:r>
      <w:r>
        <w:rPr>
          <w:vertAlign w:val="superscript"/>
        </w:rPr>
        <w:t>th</w:t>
      </w:r>
      <w:r>
        <w:rPr/>
        <w:t xml:space="preserve"> appeared to fall by the wayside as the vote was essentially along party lines.  Democrats generally favored smaller tax cuts and more spending, particularly on infrastructure related to national security.  The House bill will likely be scaled back in the Senate where Democrats have proposed a smaller package with far fewer corporate tax cuts and significantly more spending.  Senate Majority Leader Daschle has said that he intends to present a stimulus package to the President by Thanksgiving.</w:t>
      </w:r>
    </w:p>
    <w:p>
      <w:pPr>
        <w:pStyle w:val="Normal"/>
        <w:tabs>
          <w:tab w:val="left" w:pos="720" w:leader="none"/>
          <w:tab w:val="right" w:pos="8640" w:leader="none"/>
        </w:tabs>
        <w:rPr/>
      </w:pPr>
      <w:r>
        <w:rPr/>
      </w:r>
    </w:p>
    <w:p>
      <w:pPr>
        <w:pStyle w:val="Heading1"/>
        <w:ind w:hanging="0" w:start="0"/>
        <w:rPr/>
      </w:pPr>
      <w:r>
        <w:rPr/>
        <w:t>Senate Status on Energy Package</w:t>
      </w:r>
    </w:p>
    <w:p>
      <w:pPr>
        <w:pStyle w:val="Normal"/>
        <w:rPr/>
      </w:pPr>
      <w:r>
        <w:rPr/>
      </w:r>
    </w:p>
    <w:p>
      <w:pPr>
        <w:pStyle w:val="Normal"/>
        <w:rPr/>
      </w:pPr>
      <w:r>
        <w:rPr/>
        <w:t>Because of the building closures, Senate Energy Committee Chairman Jeff Bingaman (D-NM) made little headway this week in his effort to present a comprehensive energy package to the Senate floor.  Meanwhile, Senate Energy Committee Republicans are promising to unveil an energy bill soon that they will attempt to attach to any and every legislative vehicle.  The draft will include ANWR and will exclude most, if not all, electricity provisions.  With the House having included ANWR in H.R. 4, and President Bush in full support, Senator Frank Murkowski (R-AK) views the current circumstances as the best ever for ANWR passage.  There are probably enough votes in the Senate to pass ANWR on a straight up or down vote.  There may not be enough votes, however, to block a filibuster.</w:t>
      </w:r>
    </w:p>
    <w:p>
      <w:pPr>
        <w:pStyle w:val="Normal"/>
        <w:rPr/>
      </w:pPr>
      <w:r>
        <w:rPr/>
      </w:r>
    </w:p>
    <w:p>
      <w:pPr>
        <w:pStyle w:val="Heading1"/>
        <w:tabs>
          <w:tab w:val="clear" w:pos="720"/>
          <w:tab w:val="clear" w:pos="8640"/>
        </w:tabs>
        <w:ind w:hanging="0" w:start="0"/>
        <w:rPr/>
      </w:pPr>
      <w:r>
        <w:rPr/>
        <w:t>Senator Murkowski to Leave Senate</w:t>
      </w:r>
    </w:p>
    <w:p>
      <w:pPr>
        <w:pStyle w:val="Normal"/>
        <w:rPr/>
      </w:pPr>
      <w:r>
        <w:rPr/>
      </w:r>
    </w:p>
    <w:p>
      <w:pPr>
        <w:pStyle w:val="Normal"/>
        <w:rPr/>
      </w:pPr>
      <w:r>
        <w:rPr/>
        <w:t>In other Senate energy news, Senator Murkowski announced this week that he will step down from the Senate at the end of 2002 to run for governor of Alaska.  The move has been widely expected.  The current governor is term limited.</w:t>
      </w:r>
    </w:p>
    <w:p>
      <w:pPr>
        <w:pStyle w:val="Normal"/>
        <w:rPr>
          <w:rFonts w:cs="Arial"/>
        </w:rPr>
      </w:pPr>
      <w:r>
        <w:rPr>
          <w:rFonts w:cs="Arial"/>
        </w:rPr>
      </w:r>
    </w:p>
    <w:p>
      <w:pPr>
        <w:pStyle w:val="Heading1"/>
        <w:tabs>
          <w:tab w:val="clear" w:pos="720"/>
          <w:tab w:val="clear" w:pos="8640"/>
        </w:tabs>
        <w:ind w:hanging="0" w:start="0"/>
        <w:rPr>
          <w:rFonts w:cs="Arial"/>
        </w:rPr>
      </w:pPr>
      <w:r>
        <w:rPr>
          <w:rFonts w:cs="Arial"/>
        </w:rPr>
        <w:t>Multi-pollutant Legislation</w:t>
      </w:r>
    </w:p>
    <w:p>
      <w:pPr>
        <w:pStyle w:val="Normal"/>
        <w:rPr>
          <w:rFonts w:cs="Arial"/>
        </w:rPr>
      </w:pPr>
      <w:r>
        <w:rPr>
          <w:rFonts w:cs="Arial"/>
        </w:rPr>
      </w:r>
    </w:p>
    <w:p>
      <w:pPr>
        <w:pStyle w:val="Normal"/>
        <w:rPr>
          <w:rFonts w:cs="Arial"/>
        </w:rPr>
      </w:pPr>
      <w:r>
        <w:rPr>
          <w:rFonts w:cs="Arial"/>
        </w:rPr>
        <w:t xml:space="preserve">No action this week on multi-pollutant legislation as the Senate Environment and Public Works Committee postponed its entire agenda for one week because of the building closures.  </w:t>
      </w:r>
    </w:p>
    <w:p>
      <w:pPr>
        <w:pStyle w:val="Heading1"/>
        <w:tabs>
          <w:tab w:val="clear" w:pos="720"/>
          <w:tab w:val="clear" w:pos="8640"/>
        </w:tabs>
        <w:ind w:hanging="0" w:start="0"/>
        <w:rPr>
          <w:rFonts w:cs="Arial"/>
        </w:rPr>
      </w:pPr>
      <w:r>
        <w:rPr>
          <w:rFonts w:cs="Arial"/>
        </w:rPr>
      </w:r>
    </w:p>
    <w:p>
      <w:pPr>
        <w:pStyle w:val="Header"/>
        <w:tabs>
          <w:tab w:val="clear" w:pos="4320"/>
          <w:tab w:val="clear" w:pos="8640"/>
        </w:tabs>
        <w:rPr>
          <w:rFonts w:cs="Arial"/>
          <w:b/>
          <w:bCs/>
        </w:rPr>
      </w:pPr>
      <w:r>
        <w:rPr>
          <w:rFonts w:cs="Arial"/>
          <w:b/>
          <w:bCs/>
        </w:rPr>
        <w:t>DOE Secretary Abraham Praises Hydrogen</w:t>
      </w:r>
    </w:p>
    <w:p>
      <w:pPr>
        <w:pStyle w:val="Normal"/>
        <w:rPr>
          <w:rFonts w:cs="Arial"/>
          <w:b/>
          <w:bCs/>
        </w:rPr>
      </w:pPr>
      <w:r>
        <w:rPr>
          <w:rFonts w:cs="Arial"/>
          <w:b/>
          <w:bCs/>
        </w:rPr>
      </w:r>
    </w:p>
    <w:p>
      <w:pPr>
        <w:pStyle w:val="Normal"/>
        <w:rPr/>
      </w:pPr>
      <w:r>
        <w:rPr/>
        <w:t>DOE Secretary Spencer Abraham this week used a speech before the Alliance to Save Energy to sing the praises of hydrogen and fuel cells.  The Secretary addressed what he called the “Hope of Hydrogen” suggesting that expanded use of hydrogen-fueled vehicles could effectively address many of the nation’s energy needs.  He further said that fuel cells may serve as the backbone of the distributed energy network, and may offer the opportunity to dramatically change the debate about energy efficiency.</w:t>
      </w:r>
    </w:p>
    <w:p>
      <w:pPr>
        <w:pStyle w:val="Normal"/>
        <w:rPr/>
      </w:pPr>
      <w:r>
        <w:rPr/>
      </w:r>
    </w:p>
    <w:p>
      <w:pPr>
        <w:pStyle w:val="Normal"/>
        <w:rPr/>
      </w:pPr>
      <w:r>
        <w:rPr/>
        <w:t>In other remarks, Secretary Abraham said:</w:t>
      </w:r>
    </w:p>
    <w:p>
      <w:pPr>
        <w:pStyle w:val="Normal"/>
        <w:rPr/>
      </w:pPr>
      <w:r>
        <w:rPr/>
      </w:r>
    </w:p>
    <w:p>
      <w:pPr>
        <w:pStyle w:val="Normal"/>
        <w:numPr>
          <w:ilvl w:val="0"/>
          <w:numId w:val="2"/>
        </w:numPr>
        <w:rPr/>
      </w:pPr>
      <w:r>
        <w:rPr/>
        <w:t>The US may be becoming too dependent on natural gas as a fuel for electricity generation.</w:t>
      </w:r>
    </w:p>
    <w:p>
      <w:pPr>
        <w:pStyle w:val="Normal"/>
        <w:numPr>
          <w:ilvl w:val="0"/>
          <w:numId w:val="2"/>
        </w:numPr>
        <w:rPr/>
      </w:pPr>
      <w:r>
        <w:rPr/>
        <w:t>Conservation should be more focused on market-based incentives and less on government mandates.</w:t>
      </w:r>
    </w:p>
    <w:p>
      <w:pPr>
        <w:pStyle w:val="Normal"/>
        <w:numPr>
          <w:ilvl w:val="0"/>
          <w:numId w:val="2"/>
        </w:numPr>
        <w:rPr/>
      </w:pPr>
      <w:r>
        <w:rPr/>
        <w:t>Current transmission lines for electricity and gas are inadequate for our needs in the 21</w:t>
      </w:r>
      <w:r>
        <w:rPr>
          <w:vertAlign w:val="superscript"/>
        </w:rPr>
        <w:t>st</w:t>
      </w:r>
      <w:r>
        <w:rPr/>
        <w:t xml:space="preserve"> century.</w:t>
      </w:r>
    </w:p>
    <w:p>
      <w:pPr>
        <w:pStyle w:val="Normal"/>
        <w:numPr>
          <w:ilvl w:val="0"/>
          <w:numId w:val="2"/>
        </w:numPr>
        <w:rPr/>
      </w:pPr>
      <w:r>
        <w:rPr/>
        <w:t>National energy research should focus more on promising breakthroughs and less on “mature” sources like solar and wind.</w:t>
      </w:r>
    </w:p>
    <w:p>
      <w:pPr>
        <w:pStyle w:val="Normal"/>
        <w:rPr/>
      </w:pPr>
      <w:r>
        <w:rPr/>
      </w:r>
    </w:p>
    <w:p>
      <w:pPr>
        <w:pStyle w:val="Heading1"/>
        <w:tabs>
          <w:tab w:val="clear" w:pos="720"/>
          <w:tab w:val="clear" w:pos="8640"/>
        </w:tabs>
        <w:ind w:hanging="0" w:start="0"/>
        <w:rPr/>
      </w:pPr>
      <w:r>
        <w:rPr/>
        <w:t>Federal Energy Regulatory Commission</w:t>
      </w:r>
    </w:p>
    <w:p>
      <w:pPr>
        <w:pStyle w:val="Normal"/>
        <w:rPr/>
      </w:pPr>
      <w:r>
        <w:rPr/>
      </w:r>
    </w:p>
    <w:p>
      <w:pPr>
        <w:pStyle w:val="Normal"/>
        <w:rPr/>
      </w:pPr>
      <w:r>
        <w:rPr/>
        <w:t>As further follow up from the “RTO Week” dialogue, the Federal Energy Regulatory Commission announced this week that it intends to establish closer ties with state regulators to work out issues of common interest, particularly formation of Regional Transmission Organizations (RTOs).  The structure for such coordination will likely be regional panels composed of FERC staff and state representatives.</w:t>
      </w:r>
    </w:p>
    <w:p>
      <w:pPr>
        <w:pStyle w:val="Normal"/>
        <w:rPr/>
      </w:pPr>
      <w:r>
        <w:rPr/>
      </w:r>
    </w:p>
    <w:p>
      <w:pPr>
        <w:pStyle w:val="Header"/>
        <w:tabs>
          <w:tab w:val="clear" w:pos="4320"/>
          <w:tab w:val="left" w:pos="720" w:leader="none"/>
          <w:tab w:val="right" w:pos="8640" w:leader="none"/>
        </w:tabs>
        <w:rPr/>
      </w:pPr>
      <w:r>
        <w:rPr/>
      </w:r>
    </w:p>
    <w:p>
      <w:pPr>
        <w:pStyle w:val="Header"/>
        <w:tabs>
          <w:tab w:val="clear" w:pos="4320"/>
          <w:tab w:val="left" w:pos="720" w:leader="none"/>
          <w:tab w:val="right" w:pos="8640" w:leader="none"/>
        </w:tabs>
        <w:rPr/>
      </w:pPr>
      <w:r>
        <w:rPr/>
        <w:t xml:space="preserve">As always, Lighthouse will continue to keep you posted as developments warrant.  Meanwhile, we welcome your inquiries or requests for additional detail. </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296" w:right="1296" w:gutter="0" w:header="720" w:top="1152" w:footer="576"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rus BT">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pPr>
    <w:r>
      <w:rPr>
        <w:sz w:val="20"/>
      </w:rPr>
      <w:t>1200 18</w:t>
    </w:r>
    <w:r>
      <w:rPr>
        <w:sz w:val="20"/>
        <w:vertAlign w:val="superscript"/>
      </w:rPr>
      <w:t>th</w:t>
    </w:r>
    <w:r>
      <w:rPr>
        <w:sz w:val="20"/>
      </w:rPr>
      <w:t xml:space="preserve"> Street, N.W., Suite 850, Washington, D.C. 20036</w:t>
    </w:r>
  </w:p>
  <w:p>
    <w:pPr>
      <w:pStyle w:val="Footer"/>
      <w:pBdr>
        <w:top w:val="single" w:sz="4" w:space="1" w:color="000000"/>
      </w:pBdr>
      <w:jc w:val="center"/>
      <w:rPr>
        <w:sz w:val="20"/>
      </w:rPr>
    </w:pPr>
    <w:r>
      <w:rPr>
        <w:sz w:val="20"/>
      </w:rPr>
      <w:t>Ph.: (202) 822-2000 Fax: (202) 822-2156 E-mail: tanderson@lighthouse-energy.com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rFonts w:ascii="Century Gothic" w:hAnsi="Century Gothic" w:cs="Century Gothic"/>
      </w:rPr>
    </w:pPr>
    <w:r>
      <w:rPr>
        <w:rFonts w:cs="Century Gothic" w:ascii="Century Gothic" w:hAnsi="Century Gothic"/>
      </w:rPr>
      <w:t>Lighthouse Energy Group, LLC</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Fonts w:ascii="Century Gothic" w:hAnsi="Century Gothic" w:cs="Century Gothic"/>
      </w:rPr>
    </w:pPr>
    <w:r>
      <w:rPr>
        <w:rFonts w:cs="Century Gothic" w:ascii="Century Gothic" w:hAnsi="Century Gothic"/>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rus BT" w:hAnsi="Arrus BT" w:eastAsia="Times New Roman" w:cs="Arrus BT"/>
      <w:color w:val="auto"/>
      <w:sz w:val="22"/>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right" w:pos="8640" w:leader="none"/>
      </w:tabs>
      <w:outlineLvl w:val="0"/>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2001-10-26T17:36:00Z</dcterms:created>
  <dc:creator>Default</dc:creator>
  <dc:description/>
  <dc:language>en-CA</dc:language>
  <cp:lastModifiedBy>Default</cp:lastModifiedBy>
  <dcterms:modified xsi:type="dcterms:W3CDTF">2001-10-26T19:18:00Z</dcterms:modified>
  <cp:revision>12</cp:revision>
  <dc:subject/>
  <dc:title> </dc:title>
</cp:coreProperties>
</file>