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rPr/>
      </w:pPr>
      <w:r>
        <w:rPr/>
        <w:drawing>
          <wp:inline distT="0" distB="0" distL="0" distR="0">
            <wp:extent cx="1457960" cy="8375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29" r="-16" b="-29"/>
                    <a:stretch>
                      <a:fillRect/>
                    </a:stretch>
                  </pic:blipFill>
                  <pic:spPr bwMode="auto">
                    <a:xfrm>
                      <a:off x="0" y="0"/>
                      <a:ext cx="1457960" cy="837565"/>
                    </a:xfrm>
                    <a:prstGeom prst="rect">
                      <a:avLst/>
                    </a:prstGeom>
                    <a:noFill/>
                  </pic:spPr>
                </pic:pic>
              </a:graphicData>
            </a:graphic>
          </wp:inline>
        </w:drawing>
      </w:r>
      <w:r>
        <w:rPr/>
        <w:t>Lighthouse Energy Group, LLC</w:t>
        <w:tab/>
      </w:r>
    </w:p>
    <w:p>
      <w:pPr>
        <w:pStyle w:val="Normal"/>
        <w:pBdr>
          <w:bottom w:val="single" w:sz="12" w:space="1" w:color="000000"/>
        </w:pBdr>
        <w:tabs>
          <w:tab w:val="clear" w:pos="720"/>
          <w:tab w:val="right" w:pos="8640" w:leader="none"/>
        </w:tabs>
        <w:rPr>
          <w:rFonts w:ascii="Century Gothic" w:hAnsi="Century Gothic" w:cs="Century Gothic"/>
        </w:rPr>
      </w:pPr>
      <w:r>
        <w:rPr>
          <w:rFonts w:cs="Century Gothic" w:ascii="Century Gothic" w:hAnsi="Century Gothic"/>
        </w:rPr>
        <w:tab/>
      </w:r>
    </w:p>
    <w:p>
      <w:pPr>
        <w:pStyle w:val="Normal"/>
        <w:tabs>
          <w:tab w:val="clear" w:pos="720"/>
          <w:tab w:val="right" w:pos="8640" w:leader="none"/>
        </w:tabs>
        <w:rPr>
          <w:rFonts w:ascii="Century Gothic" w:hAnsi="Century Gothic" w:cs="Century Gothic"/>
        </w:rPr>
      </w:pPr>
      <w:r>
        <w:rPr>
          <w:rFonts w:cs="Century Gothic" w:ascii="Century Gothic" w:hAnsi="Century Gothic"/>
        </w:rPr>
      </w:r>
    </w:p>
    <w:p>
      <w:pPr>
        <w:pStyle w:val="Normal"/>
        <w:tabs>
          <w:tab w:val="clear" w:pos="720"/>
          <w:tab w:val="right" w:pos="8640" w:leader="none"/>
        </w:tabs>
        <w:rPr>
          <w:b/>
        </w:rPr>
      </w:pPr>
      <w:r>
        <w:rPr>
          <w:b/>
        </w:rPr>
        <w:t>MEMORANDUM</w:t>
        <w:tab/>
      </w:r>
      <w:r>
        <w:rPr/>
        <w:t>October 19, 2001</w:t>
      </w:r>
    </w:p>
    <w:p>
      <w:pPr>
        <w:pStyle w:val="Normal"/>
        <w:tabs>
          <w:tab w:val="clear" w:pos="720"/>
          <w:tab w:val="right" w:pos="8640" w:leader="none"/>
        </w:tabs>
        <w:rPr>
          <w:b/>
        </w:rPr>
      </w:pPr>
      <w:r>
        <w:rPr>
          <w:b/>
        </w:rPr>
      </w:r>
    </w:p>
    <w:p>
      <w:pPr>
        <w:pStyle w:val="Normal"/>
        <w:tabs>
          <w:tab w:val="left" w:pos="720" w:leader="none"/>
          <w:tab w:val="right" w:pos="8640" w:leader="none"/>
        </w:tabs>
        <w:rPr/>
      </w:pPr>
      <w:r>
        <w:rPr/>
        <w:t>To:</w:t>
        <w:tab/>
        <w:t>Lighthouse Clients and Friends</w:t>
      </w:r>
    </w:p>
    <w:p>
      <w:pPr>
        <w:pStyle w:val="Normal"/>
        <w:tabs>
          <w:tab w:val="left" w:pos="720" w:leader="none"/>
          <w:tab w:val="right" w:pos="8640" w:leader="none"/>
        </w:tabs>
        <w:rPr/>
      </w:pPr>
      <w:r>
        <w:rPr/>
      </w:r>
    </w:p>
    <w:p>
      <w:pPr>
        <w:pStyle w:val="Normal"/>
        <w:tabs>
          <w:tab w:val="left" w:pos="720" w:leader="none"/>
          <w:tab w:val="right" w:pos="8640" w:leader="none"/>
        </w:tabs>
        <w:rPr/>
      </w:pPr>
      <w:r>
        <w:rPr/>
        <w:t>Fr:</w:t>
        <w:tab/>
        <w:t>Merribel Ayres and Tobyn Anderson</w:t>
      </w:r>
    </w:p>
    <w:p>
      <w:pPr>
        <w:pStyle w:val="Normal"/>
        <w:tabs>
          <w:tab w:val="left" w:pos="720" w:leader="none"/>
          <w:tab w:val="right" w:pos="8640" w:leader="none"/>
        </w:tabs>
        <w:rPr/>
      </w:pPr>
      <w:r>
        <w:rPr/>
      </w:r>
    </w:p>
    <w:p>
      <w:pPr>
        <w:pStyle w:val="Normal"/>
        <w:tabs>
          <w:tab w:val="left" w:pos="720" w:leader="none"/>
          <w:tab w:val="right" w:pos="8640" w:leader="none"/>
        </w:tabs>
        <w:rPr/>
      </w:pPr>
      <w:r>
        <w:rPr/>
        <w:t>RE:</w:t>
        <w:tab/>
      </w:r>
      <w:r>
        <w:rPr>
          <w:b/>
          <w:bCs/>
          <w:i/>
          <w:iCs/>
        </w:rPr>
        <w:t>Update VI – Post-Terrorist Attack: Washington Outlook</w:t>
      </w:r>
    </w:p>
    <w:p>
      <w:pPr>
        <w:pStyle w:val="Normal"/>
        <w:pBdr>
          <w:bottom w:val="single" w:sz="6" w:space="1" w:color="000000"/>
        </w:pBdr>
        <w:tabs>
          <w:tab w:val="left" w:pos="720" w:leader="none"/>
          <w:tab w:val="right" w:pos="8640" w:leader="none"/>
        </w:tabs>
        <w:rPr/>
      </w:pPr>
      <w:r>
        <w:rPr/>
      </w:r>
    </w:p>
    <w:p>
      <w:pPr>
        <w:pStyle w:val="Normal"/>
        <w:tabs>
          <w:tab w:val="left" w:pos="720" w:leader="none"/>
          <w:tab w:val="right" w:pos="8640" w:leader="none"/>
        </w:tabs>
        <w:rPr/>
      </w:pPr>
      <w:r>
        <w:rPr/>
      </w:r>
    </w:p>
    <w:p>
      <w:pPr>
        <w:pStyle w:val="Normal"/>
        <w:tabs>
          <w:tab w:val="left" w:pos="720" w:leader="none"/>
          <w:tab w:val="right" w:pos="8640" w:leader="none"/>
        </w:tabs>
        <w:rPr>
          <w:b/>
          <w:bCs/>
        </w:rPr>
      </w:pPr>
      <w:r>
        <w:rPr>
          <w:b/>
          <w:bCs/>
        </w:rPr>
        <w:t>“</w:t>
      </w:r>
      <w:r>
        <w:rPr>
          <w:b/>
          <w:bCs/>
        </w:rPr>
        <w:t>You Go That Way; I’ll Go This Way…”</w:t>
      </w:r>
    </w:p>
    <w:p>
      <w:pPr>
        <w:pStyle w:val="Normal"/>
        <w:tabs>
          <w:tab w:val="left" w:pos="720" w:leader="none"/>
          <w:tab w:val="right" w:pos="8640" w:leader="none"/>
        </w:tabs>
        <w:rPr>
          <w:b/>
          <w:bCs/>
        </w:rPr>
      </w:pPr>
      <w:r>
        <w:rPr>
          <w:b/>
          <w:bCs/>
        </w:rPr>
      </w:r>
    </w:p>
    <w:p>
      <w:pPr>
        <w:pStyle w:val="Normal"/>
        <w:tabs>
          <w:tab w:val="left" w:pos="720" w:leader="none"/>
          <w:tab w:val="right" w:pos="8640" w:leader="none"/>
        </w:tabs>
        <w:rPr/>
      </w:pPr>
      <w:r>
        <w:rPr/>
        <w:t xml:space="preserve">Our report this week is brief as Congress is effectively shut down following decisions mid-week to close buildings on Capitol Hill for an anthrax “sweep.”  In the inside baseball department, both chambers had reportedly agreed to shut down, but the Senate reneged on the deal at the last minute.  Moreover, it didn’t bother to tell the House about its decision!   Thus, the House Leadership was briefly the subject of Senate barbs.  In the end, however, Senate buildings were essentially shut down, as well, even though Senators continued to appear on the floor.  </w:t>
      </w:r>
    </w:p>
    <w:p>
      <w:pPr>
        <w:pStyle w:val="Normal"/>
        <w:tabs>
          <w:tab w:val="left" w:pos="720" w:leader="none"/>
          <w:tab w:val="right" w:pos="8640" w:leader="none"/>
        </w:tabs>
        <w:rPr/>
      </w:pPr>
      <w:r>
        <w:rPr/>
      </w:r>
    </w:p>
    <w:p>
      <w:pPr>
        <w:pStyle w:val="Heading1"/>
        <w:ind w:hanging="0" w:start="0"/>
        <w:rPr/>
      </w:pPr>
      <w:r>
        <w:rPr/>
        <w:t>Senate Energy Committee Continues to Prepare Energy Package</w:t>
      </w:r>
    </w:p>
    <w:p>
      <w:pPr>
        <w:pStyle w:val="Normal"/>
        <w:tabs>
          <w:tab w:val="left" w:pos="720" w:leader="none"/>
          <w:tab w:val="right" w:pos="8640" w:leader="none"/>
        </w:tabs>
        <w:rPr/>
      </w:pPr>
      <w:r>
        <w:rPr/>
      </w:r>
    </w:p>
    <w:p>
      <w:pPr>
        <w:pStyle w:val="Normal"/>
        <w:rPr>
          <w:rFonts w:cs="Arial"/>
        </w:rPr>
      </w:pPr>
      <w:r>
        <w:rPr>
          <w:rFonts w:cs="Arial"/>
        </w:rPr>
        <w:t xml:space="preserve">Before the shutdown this week, Senate Energy Committee staff began what are intended to be a series of meetings with members’ staff in an effort to solicit input on a comprehensive energy bill for the floor.  Electric restructuring, for example, was the topic on Tuesday.  Chairman Bingaman continues to say that he hopes to have a package ready by the end of the month.  Nevertheless, the odds of the Senate considering such a bill this year remain long.  As we’ve said before, the key will be how long Congress stays in session.  If they are still here well into November, or even December as some speculate, then action becomes more likely.  A major hurdle continues to be how to dispose of the Arctic National Wildlife Refuge (ANWR) issue, with no clear answer in sight.  </w:t>
      </w:r>
    </w:p>
    <w:p>
      <w:pPr>
        <w:pStyle w:val="Normal"/>
        <w:rPr>
          <w:rFonts w:cs="Arial"/>
        </w:rPr>
      </w:pPr>
      <w:r>
        <w:rPr>
          <w:rFonts w:cs="Arial"/>
        </w:rPr>
      </w:r>
    </w:p>
    <w:p>
      <w:pPr>
        <w:pStyle w:val="Heading1"/>
        <w:tabs>
          <w:tab w:val="clear" w:pos="720"/>
          <w:tab w:val="clear" w:pos="8640"/>
        </w:tabs>
        <w:ind w:hanging="0" w:start="0"/>
        <w:rPr>
          <w:rFonts w:cs="Arial"/>
        </w:rPr>
      </w:pPr>
      <w:r>
        <w:rPr>
          <w:rFonts w:cs="Arial"/>
        </w:rPr>
        <w:t>Multi-pollutant Legislation</w:t>
      </w:r>
    </w:p>
    <w:p>
      <w:pPr>
        <w:pStyle w:val="Normal"/>
        <w:rPr>
          <w:rFonts w:cs="Arial"/>
        </w:rPr>
      </w:pPr>
      <w:r>
        <w:rPr>
          <w:rFonts w:cs="Arial"/>
        </w:rPr>
      </w:r>
    </w:p>
    <w:p>
      <w:pPr>
        <w:pStyle w:val="Normal"/>
        <w:rPr/>
      </w:pPr>
      <w:r>
        <w:rPr>
          <w:rFonts w:cs="Arial"/>
        </w:rPr>
        <w:t xml:space="preserve">The Senate Environment and Public Works Committee </w:t>
      </w:r>
      <w:r>
        <w:rPr/>
        <w:t xml:space="preserve">Chairman James Jeffords (I-VT) is still moving forward on multi-pollutant legislation.  The committee will hold two or three hearings in the coming weeks taking testimony from state and federal officials, as well as industry and environmental stakeholders.  Again, assuming the committee reports a bill, the chances for further action on this issue this year are small. </w:t>
      </w:r>
    </w:p>
    <w:p>
      <w:pPr>
        <w:pStyle w:val="Normal"/>
        <w:rPr>
          <w:rFonts w:cs="Arial"/>
        </w:rPr>
      </w:pPr>
      <w:r>
        <w:rPr>
          <w:rFonts w:cs="Arial"/>
        </w:rPr>
      </w:r>
    </w:p>
    <w:p>
      <w:pPr>
        <w:pStyle w:val="Heading1"/>
        <w:tabs>
          <w:tab w:val="clear" w:pos="720"/>
          <w:tab w:val="clear" w:pos="8640"/>
        </w:tabs>
        <w:ind w:hanging="0" w:start="0"/>
        <w:rPr>
          <w:rFonts w:cs="Arial"/>
        </w:rPr>
      </w:pPr>
      <w:r>
        <w:rPr>
          <w:rFonts w:cs="Arial"/>
        </w:rPr>
        <w:t xml:space="preserve">House Action </w:t>
      </w:r>
    </w:p>
    <w:p>
      <w:pPr>
        <w:pStyle w:val="Header"/>
        <w:tabs>
          <w:tab w:val="clear" w:pos="4320"/>
          <w:tab w:val="clear" w:pos="8640"/>
        </w:tabs>
        <w:rPr>
          <w:rFonts w:cs="Arial"/>
        </w:rPr>
      </w:pPr>
      <w:r>
        <w:rPr>
          <w:rFonts w:cs="Arial"/>
        </w:rPr>
      </w:r>
    </w:p>
    <w:p>
      <w:pPr>
        <w:pStyle w:val="Normal"/>
        <w:rPr/>
      </w:pPr>
      <w:r>
        <w:rPr/>
        <w:t xml:space="preserve">Before the shutdown, the House was beginning to grapple with what is, for the moment, a $100 billion economic stimulus package.  The measure will undoubtedly change and be pared down, however, as it moves through the process.  The Administration, in particular, has issued warnings that the price tag is too high. </w:t>
      </w:r>
    </w:p>
    <w:p>
      <w:pPr>
        <w:pStyle w:val="Normal"/>
        <w:rPr/>
      </w:pPr>
      <w:r>
        <w:rPr/>
      </w:r>
    </w:p>
    <w:p>
      <w:pPr>
        <w:pStyle w:val="Normal"/>
        <w:rPr/>
      </w:pPr>
      <w:r>
        <w:rPr/>
        <w:t>In the House Energy and Commerce Committee, Energy and Air Quality Subcommittee Chairman Joe Barton (R-TX) is preparing further revisions to his electric restructuring legislation.  We expect, however, that the changes will be modest as Rep. Barton sorts out his approach to Regional Transmission Organizations (RTOs).</w:t>
      </w:r>
    </w:p>
    <w:p>
      <w:pPr>
        <w:pStyle w:val="Normal"/>
        <w:rPr/>
      </w:pPr>
      <w:r>
        <w:rPr/>
      </w:r>
    </w:p>
    <w:p>
      <w:pPr>
        <w:pStyle w:val="Heading1"/>
        <w:tabs>
          <w:tab w:val="clear" w:pos="720"/>
          <w:tab w:val="clear" w:pos="8640"/>
        </w:tabs>
        <w:ind w:hanging="0" w:start="0"/>
        <w:rPr/>
      </w:pPr>
      <w:r>
        <w:rPr/>
        <w:t>Federal Energy Regulatory Commission</w:t>
      </w:r>
    </w:p>
    <w:p>
      <w:pPr>
        <w:pStyle w:val="Normal"/>
        <w:rPr/>
      </w:pPr>
      <w:r>
        <w:rPr/>
      </w:r>
    </w:p>
    <w:p>
      <w:pPr>
        <w:pStyle w:val="Normal"/>
        <w:rPr/>
      </w:pPr>
      <w:r>
        <w:rPr/>
        <w:t>The FERC did not shut down this week.  Indeed, it pushed forward with its weeklong workshop on RTO formation.  The panel heard considerable concern, particularly from state regulators, over its preference for creating four large RTOs.  By week’s end, Chairman Pat Wood seemed to be indicating a willingness to revise the commission’s preference somewhat and create a greater number of RTOs.  Nevertheless, FERC is moving fairly quickly to finalize other aspects of its RTO policy, with several orders scheduled for consideration on Nov. 7</w:t>
      </w:r>
      <w:r>
        <w:rPr>
          <w:vertAlign w:val="superscript"/>
        </w:rPr>
        <w:t>th</w:t>
      </w:r>
      <w:r>
        <w:rPr/>
        <w:t xml:space="preserve">. </w:t>
      </w:r>
    </w:p>
    <w:p>
      <w:pPr>
        <w:pStyle w:val="Header"/>
        <w:tabs>
          <w:tab w:val="clear" w:pos="4320"/>
          <w:tab w:val="clear" w:pos="8640"/>
        </w:tabs>
        <w:rPr/>
      </w:pPr>
      <w:r>
        <w:rPr/>
      </w:r>
    </w:p>
    <w:p>
      <w:pPr>
        <w:pStyle w:val="Normal"/>
        <w:rPr/>
      </w:pPr>
      <w:r>
        <w:rPr/>
        <w:t xml:space="preserve">In other FERC news, President Bush announced this week that he will nominate </w:t>
      </w:r>
      <w:r>
        <w:rPr>
          <w:b/>
          <w:bCs/>
        </w:rPr>
        <w:t>Joseph Kelliher</w:t>
      </w:r>
      <w:r>
        <w:rPr/>
        <w:t xml:space="preserve"> to fill the 5</w:t>
      </w:r>
      <w:r>
        <w:rPr>
          <w:vertAlign w:val="superscript"/>
        </w:rPr>
        <w:t>th</w:t>
      </w:r>
      <w:r>
        <w:rPr/>
        <w:t xml:space="preserve"> and final slot on the commission.  Kelliher is currently a senior policy advisor at DOE.  His previous positions include counsel to the House Energy and Commerce Committee and manager of federal affairs for Public Service Electric and Gas of New Jersey.</w:t>
      </w:r>
    </w:p>
    <w:p>
      <w:pPr>
        <w:pStyle w:val="Normal"/>
        <w:rPr/>
      </w:pPr>
      <w:r>
        <w:rPr/>
      </w:r>
    </w:p>
    <w:p>
      <w:pPr>
        <w:pStyle w:val="Header"/>
        <w:tabs>
          <w:tab w:val="clear" w:pos="4320"/>
          <w:tab w:val="left" w:pos="720" w:leader="none"/>
          <w:tab w:val="right" w:pos="8640" w:leader="none"/>
        </w:tabs>
        <w:rPr/>
      </w:pPr>
      <w:r>
        <w:rPr/>
      </w:r>
    </w:p>
    <w:p>
      <w:pPr>
        <w:pStyle w:val="Header"/>
        <w:tabs>
          <w:tab w:val="clear" w:pos="4320"/>
          <w:tab w:val="left" w:pos="720" w:leader="none"/>
          <w:tab w:val="right" w:pos="8640" w:leader="none"/>
        </w:tabs>
        <w:rPr/>
      </w:pPr>
      <w:r>
        <w:rPr/>
        <w:t xml:space="preserve">As always, Lighthouse will continue to keep you posted as developments warrant.  Meanwhile, we welcome your inquiries or requests for additional detail. </w:t>
      </w:r>
    </w:p>
    <w:p>
      <w:pPr>
        <w:pStyle w:val="Normal"/>
        <w:rPr/>
      </w:pPr>
      <w:r>
        <w:rPr/>
      </w:r>
    </w:p>
    <w:sectPr>
      <w:headerReference w:type="default" r:id="rId3"/>
      <w:headerReference w:type="first" r:id="rId4"/>
      <w:footerReference w:type="default" r:id="rId5"/>
      <w:footerReference w:type="first" r:id="rId6"/>
      <w:type w:val="nextPage"/>
      <w:pgSz w:w="12240" w:h="15840"/>
      <w:pgMar w:left="1440" w:right="1296" w:gutter="0" w:header="720" w:top="1440" w:footer="576"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rus BT">
    <w:charset w:val="00" w:characterSet="windows-1252"/>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pPr>
    <w:r>
      <w:rPr>
        <w:sz w:val="20"/>
      </w:rPr>
      <w:t>1200 18</w:t>
    </w:r>
    <w:r>
      <w:rPr>
        <w:sz w:val="20"/>
        <w:vertAlign w:val="superscript"/>
      </w:rPr>
      <w:t>th</w:t>
    </w:r>
    <w:r>
      <w:rPr>
        <w:sz w:val="20"/>
      </w:rPr>
      <w:t xml:space="preserve"> Street, N.W., Suite 850, Washington, D.C. 20036</w:t>
    </w:r>
  </w:p>
  <w:p>
    <w:pPr>
      <w:pStyle w:val="Footer"/>
      <w:pBdr>
        <w:top w:val="single" w:sz="4" w:space="1" w:color="000000"/>
      </w:pBdr>
      <w:jc w:val="center"/>
      <w:rPr>
        <w:sz w:val="20"/>
      </w:rPr>
    </w:pPr>
    <w:r>
      <w:rPr>
        <w:sz w:val="20"/>
      </w:rPr>
      <w:t>Ph.: (202) 822-2000 Fax: (202) 822-2156 E-mail: tanderson@lighthouse-energy.com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rPr>
        <w:rFonts w:ascii="Century Gothic" w:hAnsi="Century Gothic" w:cs="Century Gothic"/>
      </w:rPr>
    </w:pPr>
    <w:r>
      <w:rPr>
        <w:rFonts w:cs="Century Gothic" w:ascii="Century Gothic" w:hAnsi="Century Gothic"/>
      </w:rPr>
      <w:t>Lighthouse Energy Group, LLC</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Fonts w:ascii="Century Gothic" w:hAnsi="Century Gothic" w:cs="Century Gothic"/>
      </w:rPr>
    </w:pPr>
    <w:r>
      <w:rPr>
        <w:rFonts w:cs="Century Gothic" w:ascii="Century Gothic" w:hAnsi="Century Gothic"/>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rus BT" w:hAnsi="Arrus BT" w:eastAsia="Times New Roman" w:cs="Arrus BT"/>
      <w:color w:val="auto"/>
      <w:sz w:val="22"/>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right" w:pos="8640" w:leader="none"/>
      </w:tabs>
      <w:outlineLvl w:val="0"/>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752" w:leader="none"/>
        <w:tab w:val="right" w:pos="9504"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2001-10-19T19:16:00Z</dcterms:created>
  <dc:creator>Default</dc:creator>
  <dc:description/>
  <dc:language>en-CA</dc:language>
  <cp:lastModifiedBy>Default</cp:lastModifiedBy>
  <cp:lastPrinted>2001-10-19T15:45:00Z</cp:lastPrinted>
  <dcterms:modified xsi:type="dcterms:W3CDTF">2001-10-19T20:58:00Z</dcterms:modified>
  <cp:revision>19</cp:revision>
  <dc:subject/>
  <dc:title> </dc:title>
</cp:coreProperties>
</file>