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rPr/>
      </w:pPr>
      <w:r>
        <w:rPr/>
        <w:drawing>
          <wp:inline distT="0" distB="0" distL="0" distR="0">
            <wp:extent cx="1457960" cy="8375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29" r="-16" b="-29"/>
                    <a:stretch>
                      <a:fillRect/>
                    </a:stretch>
                  </pic:blipFill>
                  <pic:spPr bwMode="auto">
                    <a:xfrm>
                      <a:off x="0" y="0"/>
                      <a:ext cx="1457960" cy="837565"/>
                    </a:xfrm>
                    <a:prstGeom prst="rect">
                      <a:avLst/>
                    </a:prstGeom>
                    <a:noFill/>
                  </pic:spPr>
                </pic:pic>
              </a:graphicData>
            </a:graphic>
          </wp:inline>
        </w:drawing>
      </w:r>
      <w:r>
        <w:rPr/>
        <w:t>Lighthouse Energy Group, LLC</w:t>
        <w:tab/>
      </w:r>
    </w:p>
    <w:p>
      <w:pPr>
        <w:pStyle w:val="Normal"/>
        <w:pBdr>
          <w:bottom w:val="single" w:sz="12" w:space="1" w:color="000000"/>
        </w:pBdr>
        <w:tabs>
          <w:tab w:val="clear" w:pos="720"/>
          <w:tab w:val="right" w:pos="8640" w:leader="none"/>
        </w:tabs>
        <w:rPr>
          <w:rFonts w:ascii="Century Gothic" w:hAnsi="Century Gothic" w:cs="Century Gothic"/>
        </w:rPr>
      </w:pPr>
      <w:r>
        <w:rPr>
          <w:rFonts w:cs="Century Gothic" w:ascii="Century Gothic" w:hAnsi="Century Gothic"/>
        </w:rPr>
        <w:tab/>
      </w:r>
    </w:p>
    <w:p>
      <w:pPr>
        <w:pStyle w:val="Normal"/>
        <w:tabs>
          <w:tab w:val="clear" w:pos="720"/>
          <w:tab w:val="right" w:pos="8640" w:leader="none"/>
        </w:tabs>
        <w:rPr>
          <w:rFonts w:ascii="Century Gothic" w:hAnsi="Century Gothic" w:cs="Century Gothic"/>
        </w:rPr>
      </w:pPr>
      <w:r>
        <w:rPr>
          <w:rFonts w:cs="Century Gothic" w:ascii="Century Gothic" w:hAnsi="Century Gothic"/>
        </w:rPr>
      </w:r>
    </w:p>
    <w:p>
      <w:pPr>
        <w:pStyle w:val="Normal"/>
        <w:tabs>
          <w:tab w:val="clear" w:pos="720"/>
          <w:tab w:val="right" w:pos="8640" w:leader="none"/>
        </w:tabs>
        <w:rPr>
          <w:b/>
        </w:rPr>
      </w:pPr>
      <w:r>
        <w:rPr>
          <w:b/>
        </w:rPr>
        <w:t>MEMORANDUM</w:t>
        <w:tab/>
      </w:r>
      <w:r>
        <w:rPr/>
        <w:t>October 12, 2001</w:t>
      </w:r>
    </w:p>
    <w:p>
      <w:pPr>
        <w:pStyle w:val="Normal"/>
        <w:tabs>
          <w:tab w:val="clear" w:pos="720"/>
          <w:tab w:val="right" w:pos="8640" w:leader="none"/>
        </w:tabs>
        <w:rPr>
          <w:b/>
        </w:rPr>
      </w:pPr>
      <w:r>
        <w:rPr>
          <w:b/>
        </w:rPr>
      </w:r>
    </w:p>
    <w:p>
      <w:pPr>
        <w:pStyle w:val="Normal"/>
        <w:tabs>
          <w:tab w:val="left" w:pos="720" w:leader="none"/>
          <w:tab w:val="right" w:pos="8640" w:leader="none"/>
        </w:tabs>
        <w:rPr/>
      </w:pPr>
      <w:r>
        <w:rPr/>
        <w:t>To:</w:t>
        <w:tab/>
        <w:t>Lighthouse Clients and Friends</w:t>
      </w:r>
    </w:p>
    <w:p>
      <w:pPr>
        <w:pStyle w:val="Normal"/>
        <w:tabs>
          <w:tab w:val="left" w:pos="720" w:leader="none"/>
          <w:tab w:val="right" w:pos="8640" w:leader="none"/>
        </w:tabs>
        <w:rPr/>
      </w:pPr>
      <w:r>
        <w:rPr/>
      </w:r>
    </w:p>
    <w:p>
      <w:pPr>
        <w:pStyle w:val="Normal"/>
        <w:tabs>
          <w:tab w:val="left" w:pos="720" w:leader="none"/>
          <w:tab w:val="right" w:pos="8640" w:leader="none"/>
        </w:tabs>
        <w:rPr/>
      </w:pPr>
      <w:r>
        <w:rPr/>
        <w:t>Fr:</w:t>
        <w:tab/>
        <w:t>Merribel Ayres and Tobyn Anderson</w:t>
      </w:r>
    </w:p>
    <w:p>
      <w:pPr>
        <w:pStyle w:val="Normal"/>
        <w:tabs>
          <w:tab w:val="left" w:pos="720" w:leader="none"/>
          <w:tab w:val="right" w:pos="8640" w:leader="none"/>
        </w:tabs>
        <w:rPr/>
      </w:pPr>
      <w:r>
        <w:rPr/>
      </w:r>
    </w:p>
    <w:p>
      <w:pPr>
        <w:pStyle w:val="Normal"/>
        <w:tabs>
          <w:tab w:val="left" w:pos="720" w:leader="none"/>
          <w:tab w:val="right" w:pos="8640" w:leader="none"/>
        </w:tabs>
        <w:rPr/>
      </w:pPr>
      <w:r>
        <w:rPr/>
        <w:t>RE:</w:t>
        <w:tab/>
      </w:r>
      <w:r>
        <w:rPr>
          <w:b/>
          <w:bCs/>
          <w:i/>
          <w:iCs/>
        </w:rPr>
        <w:t>Update V – Post-Terrorist Attack: Washington Outlook</w:t>
      </w:r>
    </w:p>
    <w:p>
      <w:pPr>
        <w:pStyle w:val="Normal"/>
        <w:pBdr>
          <w:bottom w:val="single" w:sz="6" w:space="1" w:color="000000"/>
        </w:pBdr>
        <w:tabs>
          <w:tab w:val="left" w:pos="720" w:leader="none"/>
          <w:tab w:val="right" w:pos="8640" w:leader="none"/>
        </w:tabs>
        <w:rPr/>
      </w:pPr>
      <w:r>
        <w:rPr/>
      </w:r>
    </w:p>
    <w:p>
      <w:pPr>
        <w:pStyle w:val="Normal"/>
        <w:tabs>
          <w:tab w:val="left" w:pos="720" w:leader="none"/>
          <w:tab w:val="right" w:pos="8640" w:leader="none"/>
        </w:tabs>
        <w:rPr/>
      </w:pPr>
      <w:r>
        <w:rPr/>
      </w:r>
    </w:p>
    <w:p>
      <w:pPr>
        <w:pStyle w:val="Normal"/>
        <w:tabs>
          <w:tab w:val="left" w:pos="720" w:leader="none"/>
          <w:tab w:val="right" w:pos="8640" w:leader="none"/>
        </w:tabs>
        <w:rPr/>
      </w:pPr>
      <w:r>
        <w:rPr/>
        <w:t>In our continued efforts to keep clients and friends apprised of the outlook for issues related to energy and the environment in light of last month’s attacks, below find a brief update summary.</w:t>
      </w:r>
    </w:p>
    <w:p>
      <w:pPr>
        <w:pStyle w:val="Normal"/>
        <w:tabs>
          <w:tab w:val="left" w:pos="720" w:leader="none"/>
          <w:tab w:val="right" w:pos="8640" w:leader="none"/>
        </w:tabs>
        <w:rPr/>
      </w:pPr>
      <w:r>
        <w:rPr/>
      </w:r>
    </w:p>
    <w:p>
      <w:pPr>
        <w:pStyle w:val="Heading1"/>
        <w:ind w:hanging="0" w:start="0"/>
        <w:rPr/>
      </w:pPr>
      <w:r>
        <w:rPr/>
        <w:t>Senate Energy Committee Foregoes Markups in Favor of Floor Effort on Comprehensive Bill</w:t>
      </w:r>
    </w:p>
    <w:p>
      <w:pPr>
        <w:pStyle w:val="Normal"/>
        <w:tabs>
          <w:tab w:val="left" w:pos="720" w:leader="none"/>
          <w:tab w:val="right" w:pos="8640" w:leader="none"/>
        </w:tabs>
        <w:rPr/>
      </w:pPr>
      <w:r>
        <w:rPr/>
      </w:r>
    </w:p>
    <w:p>
      <w:pPr>
        <w:pStyle w:val="Normal"/>
        <w:rPr/>
      </w:pPr>
      <w:r>
        <w:rPr>
          <w:rFonts w:cs="Arial"/>
        </w:rPr>
        <w:t xml:space="preserve">Perhaps the biggest news this week was an announcement by Senate Energy Committee Chairman Jeff Bingaman (D-NM) that his panel would forego markup of </w:t>
      </w:r>
      <w:r>
        <w:rPr>
          <w:rFonts w:cs="Arial"/>
          <w:i/>
          <w:iCs/>
        </w:rPr>
        <w:t>any</w:t>
      </w:r>
      <w:r>
        <w:rPr>
          <w:rFonts w:cs="Arial"/>
        </w:rPr>
        <w:t xml:space="preserve"> energy legislation for the remainder of the year.  Instead, he intends to invoke a special Senate rule that enables him to bypass the committee process and report a "comprehensive" bill directly to the Senate floor.  The stated rationale is to avoid partisan conflict over hot button issues such as oil and gas development in the Artic National Wildlife Refuge (ANWR), and to streamline committee jurisdiction disputes over a wide-ranging bill.  </w:t>
      </w:r>
    </w:p>
    <w:p>
      <w:pPr>
        <w:pStyle w:val="Normal"/>
        <w:rPr>
          <w:rFonts w:cs="Arial"/>
        </w:rPr>
      </w:pPr>
      <w:r>
        <w:rPr>
          <w:rFonts w:cs="Arial"/>
        </w:rPr>
      </w:r>
    </w:p>
    <w:p>
      <w:pPr>
        <w:pStyle w:val="Normal"/>
        <w:rPr>
          <w:rFonts w:cs="Arial"/>
        </w:rPr>
      </w:pPr>
      <w:r>
        <w:rPr>
          <w:rFonts w:cs="Arial"/>
        </w:rPr>
        <w:t>Opponents of the move, such as Ranking Member Frank Murkowski (R-AK), believe it’s an effort to avoid an ANWR vote in committee, where it appears that the issue now has sufficient votes to pass.  Democrats calculate that a floor amendment on ANWR would yield a successful filibuster, and that Republicans would prefer an energy bill without ANWR to no bill at all.</w:t>
      </w:r>
    </w:p>
    <w:p>
      <w:pPr>
        <w:pStyle w:val="Normal"/>
        <w:rPr>
          <w:rFonts w:cs="Arial"/>
        </w:rPr>
      </w:pPr>
      <w:r>
        <w:rPr>
          <w:rFonts w:cs="Arial"/>
        </w:rPr>
        <w:t> </w:t>
      </w:r>
    </w:p>
    <w:p>
      <w:pPr>
        <w:pStyle w:val="Normal"/>
        <w:rPr/>
      </w:pPr>
      <w:r>
        <w:rPr>
          <w:rFonts w:cs="Arial"/>
        </w:rPr>
        <w:t xml:space="preserve">It is likely that Senator Bingaman, working with Majority Leader Tom Daschle (D-SD), will include most all of the issues that the Energy Committee has been considering, such as domestic oil and gas production, energy efficiency, electric restructuring, </w:t>
      </w:r>
      <w:r>
        <w:rPr>
          <w:rFonts w:cs="Arial"/>
          <w:i/>
          <w:iCs/>
        </w:rPr>
        <w:t xml:space="preserve">plus </w:t>
      </w:r>
      <w:r>
        <w:rPr>
          <w:rFonts w:cs="Arial"/>
        </w:rPr>
        <w:t xml:space="preserve">energy infrastructure security.  It is even possible that </w:t>
      </w:r>
      <w:r>
        <w:rPr>
          <w:rFonts w:cs="Arial"/>
          <w:b/>
          <w:bCs/>
        </w:rPr>
        <w:t>tax provisions</w:t>
      </w:r>
      <w:r>
        <w:rPr>
          <w:rFonts w:cs="Arial"/>
        </w:rPr>
        <w:t xml:space="preserve"> from the House-passed energy bill (H.R. 4) could be folded in.</w:t>
      </w:r>
    </w:p>
    <w:p>
      <w:pPr>
        <w:pStyle w:val="Normal"/>
        <w:rPr>
          <w:rFonts w:cs="Arial"/>
        </w:rPr>
      </w:pPr>
      <w:r>
        <w:rPr>
          <w:rFonts w:cs="Arial"/>
        </w:rPr>
      </w:r>
    </w:p>
    <w:p>
      <w:pPr>
        <w:pStyle w:val="Heading1"/>
        <w:tabs>
          <w:tab w:val="clear" w:pos="720"/>
          <w:tab w:val="clear" w:pos="8640"/>
        </w:tabs>
        <w:ind w:hanging="0" w:start="0"/>
        <w:rPr>
          <w:rFonts w:cs="Arial"/>
        </w:rPr>
      </w:pPr>
      <w:r>
        <w:rPr>
          <w:rFonts w:cs="Arial"/>
        </w:rPr>
        <w:t>Senate Floor Schedule</w:t>
      </w:r>
    </w:p>
    <w:p>
      <w:pPr>
        <w:pStyle w:val="Normal"/>
        <w:rPr>
          <w:rFonts w:cs="Arial"/>
        </w:rPr>
      </w:pPr>
      <w:r>
        <w:rPr>
          <w:rFonts w:cs="Arial"/>
        </w:rPr>
      </w:r>
    </w:p>
    <w:p>
      <w:pPr>
        <w:pStyle w:val="Normal"/>
        <w:rPr/>
      </w:pPr>
      <w:r>
        <w:rPr>
          <w:rFonts w:cs="Arial"/>
        </w:rPr>
        <w:t xml:space="preserve">The remaining big question is whether the Senate will have time to consider an energy package before it adjourns, a date that remains uncertain.  Sen. Daschle said that energy is one of his top priorities </w:t>
      </w:r>
      <w:r>
        <w:rPr>
          <w:rFonts w:cs="Arial"/>
          <w:i/>
          <w:iCs/>
        </w:rPr>
        <w:t>after</w:t>
      </w:r>
      <w:r>
        <w:rPr>
          <w:rFonts w:cs="Arial"/>
        </w:rPr>
        <w:t xml:space="preserve"> the Senate completes work on:</w:t>
      </w:r>
    </w:p>
    <w:p>
      <w:pPr>
        <w:pStyle w:val="Normal"/>
        <w:rPr>
          <w:rFonts w:cs="Arial"/>
        </w:rPr>
      </w:pPr>
      <w:r>
        <w:rPr>
          <w:rFonts w:cs="Arial"/>
        </w:rPr>
      </w:r>
    </w:p>
    <w:p>
      <w:pPr>
        <w:pStyle w:val="Normal"/>
        <w:numPr>
          <w:ilvl w:val="0"/>
          <w:numId w:val="2"/>
        </w:numPr>
        <w:rPr>
          <w:rFonts w:cs="Arial"/>
        </w:rPr>
      </w:pPr>
      <w:r>
        <w:rPr>
          <w:rFonts w:cs="Arial"/>
        </w:rPr>
        <w:t xml:space="preserve">all of the appropriations bills (likely to take until the end of Oct.), </w:t>
      </w:r>
    </w:p>
    <w:p>
      <w:pPr>
        <w:pStyle w:val="Normal"/>
        <w:numPr>
          <w:ilvl w:val="0"/>
          <w:numId w:val="2"/>
        </w:numPr>
        <w:rPr>
          <w:rFonts w:cs="Arial"/>
        </w:rPr>
      </w:pPr>
      <w:r>
        <w:rPr>
          <w:rFonts w:cs="Arial"/>
        </w:rPr>
        <w:t>an anti-terrorism package (headed to conference committee soon), and</w:t>
      </w:r>
    </w:p>
    <w:p>
      <w:pPr>
        <w:pStyle w:val="Normal"/>
        <w:numPr>
          <w:ilvl w:val="0"/>
          <w:numId w:val="2"/>
        </w:numPr>
        <w:rPr>
          <w:rFonts w:cs="Arial"/>
        </w:rPr>
      </w:pPr>
      <w:r>
        <w:rPr>
          <w:rFonts w:cs="Arial"/>
        </w:rPr>
        <w:t xml:space="preserve">the economic stimulus package (still contested and in the formative stages). </w:t>
      </w:r>
    </w:p>
    <w:p>
      <w:pPr>
        <w:pStyle w:val="Normal"/>
        <w:rPr>
          <w:rFonts w:ascii="Arial" w:hAnsi="Arial" w:cs="Arial"/>
        </w:rPr>
      </w:pPr>
      <w:r>
        <w:rPr>
          <w:rFonts w:cs="Arial" w:ascii="Arial" w:hAnsi="Arial"/>
        </w:rPr>
        <w:t> </w:t>
      </w:r>
    </w:p>
    <w:p>
      <w:pPr>
        <w:pStyle w:val="Normal"/>
        <w:rPr>
          <w:rFonts w:cs="Arial"/>
        </w:rPr>
      </w:pPr>
      <w:r>
        <w:rPr>
          <w:rFonts w:cs="Arial"/>
        </w:rPr>
        <w:t>In short, that’s a lot on the Senate’s plate.  Floor action on an energy bill will likely be a function of how long Congress stays in.</w:t>
      </w:r>
    </w:p>
    <w:p>
      <w:pPr>
        <w:pStyle w:val="Normal"/>
        <w:rPr>
          <w:rFonts w:cs="Arial"/>
        </w:rPr>
      </w:pPr>
      <w:r>
        <w:rPr>
          <w:rFonts w:cs="Arial"/>
        </w:rPr>
      </w:r>
    </w:p>
    <w:p>
      <w:pPr>
        <w:pStyle w:val="Heading1"/>
        <w:tabs>
          <w:tab w:val="clear" w:pos="720"/>
          <w:tab w:val="clear" w:pos="8640"/>
        </w:tabs>
        <w:ind w:hanging="0" w:start="0"/>
        <w:rPr>
          <w:rFonts w:cs="Arial"/>
        </w:rPr>
      </w:pPr>
      <w:r>
        <w:rPr>
          <w:rFonts w:cs="Arial"/>
        </w:rPr>
        <w:t>Four Pollutant Bill</w:t>
      </w:r>
    </w:p>
    <w:p>
      <w:pPr>
        <w:pStyle w:val="Normal"/>
        <w:rPr>
          <w:rFonts w:cs="Arial"/>
        </w:rPr>
      </w:pPr>
      <w:r>
        <w:rPr>
          <w:rFonts w:cs="Arial"/>
        </w:rPr>
      </w:r>
    </w:p>
    <w:p>
      <w:pPr>
        <w:pStyle w:val="Normal"/>
        <w:rPr>
          <w:rFonts w:cs="Arial"/>
        </w:rPr>
      </w:pPr>
      <w:r>
        <w:rPr>
          <w:rFonts w:cs="Arial"/>
        </w:rPr>
        <w:t>The Senate Environment and Public Works Committee held</w:t>
      </w:r>
      <w:r>
        <w:rPr/>
        <w:t xml:space="preserve"> a two-day stakeholder meeting this week to seek feedback from industry, environmental groups and state and local governments about how to reduce emissions of SO2, NOx, Hg and CO2 from electric power plants.  Committee Chairman James Jeffords (I-VT) intends to report a bill in early November following a legislative hearing later this month.  Despite Chairman Jeffords’ intentions, the chances for serious progress on this issue this year are slim.  It was perhaps for this reason that the meetings produced little consensus, particularly with respect to limitations on CO2 emissions.  Lighthouse clients interested in additional analysis on this subject are invited to contact us.   </w:t>
      </w:r>
    </w:p>
    <w:p>
      <w:pPr>
        <w:pStyle w:val="Normal"/>
        <w:rPr>
          <w:rFonts w:cs="Arial"/>
        </w:rPr>
      </w:pPr>
      <w:r>
        <w:rPr>
          <w:rFonts w:cs="Arial"/>
        </w:rPr>
      </w:r>
    </w:p>
    <w:p>
      <w:pPr>
        <w:pStyle w:val="Heading1"/>
        <w:tabs>
          <w:tab w:val="clear" w:pos="720"/>
          <w:tab w:val="clear" w:pos="8640"/>
        </w:tabs>
        <w:ind w:hanging="0" w:start="0"/>
        <w:rPr>
          <w:rFonts w:cs="Arial"/>
        </w:rPr>
      </w:pPr>
      <w:r>
        <w:rPr>
          <w:rFonts w:cs="Arial"/>
        </w:rPr>
        <w:t xml:space="preserve">House Action </w:t>
      </w:r>
    </w:p>
    <w:p>
      <w:pPr>
        <w:pStyle w:val="Header"/>
        <w:tabs>
          <w:tab w:val="clear" w:pos="4320"/>
          <w:tab w:val="clear" w:pos="8640"/>
        </w:tabs>
        <w:rPr>
          <w:rFonts w:cs="Arial"/>
        </w:rPr>
      </w:pPr>
      <w:r>
        <w:rPr>
          <w:rFonts w:cs="Arial"/>
        </w:rPr>
      </w:r>
    </w:p>
    <w:p>
      <w:pPr>
        <w:pStyle w:val="Normal"/>
        <w:rPr>
          <w:rFonts w:cs="Arial"/>
        </w:rPr>
      </w:pPr>
      <w:r>
        <w:rPr/>
        <w:t xml:space="preserve">As we have indicated, with the exception of electric industry restructuring, the House considers its work on an energy bill essentially complete following passage of H.R. 4 in August.  Subcommittee Chairman </w:t>
      </w:r>
      <w:r>
        <w:rPr>
          <w:bCs/>
        </w:rPr>
        <w:t>Joe Barton</w:t>
      </w:r>
      <w:r>
        <w:rPr/>
        <w:t xml:space="preserve"> (R-TX) distributed a revised draft </w:t>
      </w:r>
      <w:r>
        <w:rPr>
          <w:b/>
          <w:bCs/>
        </w:rPr>
        <w:t>electric restructuring</w:t>
      </w:r>
      <w:r>
        <w:rPr/>
        <w:t xml:space="preserve"> proposal late last week that included a new provision on Regional Transmission Organizations (RTOs).  The provision would mandate RTO participation, but many stakeholders view the approach as complicated and cumbersome.  Although Chairman Barton continues to seek consensus on electricity issues, we believe that House action on this issue will be linked to progress in the Senate on an energy bill.</w:t>
      </w:r>
    </w:p>
    <w:p>
      <w:pPr>
        <w:pStyle w:val="Normal"/>
        <w:rPr>
          <w:rFonts w:cs="Arial"/>
        </w:rPr>
      </w:pPr>
      <w:r>
        <w:rPr>
          <w:rFonts w:cs="Arial"/>
        </w:rPr>
      </w:r>
    </w:p>
    <w:p>
      <w:pPr>
        <w:pStyle w:val="Normal"/>
        <w:rPr/>
      </w:pPr>
      <w:r>
        <w:rPr>
          <w:rFonts w:cs="Arial"/>
        </w:rPr>
        <w:t xml:space="preserve">Meanwhile, the House Energy and Air Quality Subcommittee held two hearings this week on issues related to </w:t>
      </w:r>
      <w:r>
        <w:rPr>
          <w:rFonts w:cs="Arial"/>
          <w:b/>
          <w:bCs/>
        </w:rPr>
        <w:t>transmission policy</w:t>
      </w:r>
      <w:r>
        <w:rPr>
          <w:rFonts w:cs="Arial"/>
        </w:rPr>
        <w:t xml:space="preserve"> (</w:t>
      </w:r>
      <w:r>
        <w:rPr/>
        <w:t xml:space="preserve">siting, incentives, reliability, RTOs, open-access and FERC jurisdiction).  </w:t>
      </w:r>
    </w:p>
    <w:p>
      <w:pPr>
        <w:pStyle w:val="Header"/>
        <w:tabs>
          <w:tab w:val="clear" w:pos="4320"/>
          <w:tab w:val="clear" w:pos="8640"/>
        </w:tabs>
        <w:rPr/>
      </w:pPr>
      <w:r>
        <w:rPr/>
      </w:r>
    </w:p>
    <w:p>
      <w:pPr>
        <w:pStyle w:val="Normal"/>
        <w:rPr/>
      </w:pPr>
      <w:r>
        <w:rPr/>
        <w:t xml:space="preserve">In other action, the full Energy and Commerce Committee postponed consideration of the </w:t>
      </w:r>
      <w:r>
        <w:rPr>
          <w:b/>
          <w:bCs/>
        </w:rPr>
        <w:t>Price-Anderson</w:t>
      </w:r>
      <w:r>
        <w:rPr/>
        <w:t xml:space="preserve"> nuclear insurance bill.  A markup could be rescheduled for next week.</w:t>
      </w:r>
    </w:p>
    <w:p>
      <w:pPr>
        <w:pStyle w:val="Header"/>
        <w:tabs>
          <w:tab w:val="clear" w:pos="4320"/>
          <w:tab w:val="left" w:pos="720" w:leader="none"/>
          <w:tab w:val="right" w:pos="8640" w:leader="none"/>
        </w:tabs>
        <w:rPr/>
      </w:pPr>
      <w:r>
        <w:rPr/>
      </w:r>
    </w:p>
    <w:p>
      <w:pPr>
        <w:pStyle w:val="Header"/>
        <w:tabs>
          <w:tab w:val="clear" w:pos="4320"/>
          <w:tab w:val="left" w:pos="720" w:leader="none"/>
          <w:tab w:val="right" w:pos="8640" w:leader="none"/>
        </w:tabs>
        <w:rPr>
          <w:b/>
          <w:bCs/>
        </w:rPr>
      </w:pPr>
      <w:r>
        <w:rPr>
          <w:b/>
          <w:bCs/>
        </w:rPr>
        <w:t>The Administration</w:t>
      </w:r>
    </w:p>
    <w:p>
      <w:pPr>
        <w:pStyle w:val="Header"/>
        <w:tabs>
          <w:tab w:val="clear" w:pos="4320"/>
          <w:tab w:val="left" w:pos="720" w:leader="none"/>
          <w:tab w:val="right" w:pos="8640" w:leader="none"/>
        </w:tabs>
        <w:rPr>
          <w:b/>
          <w:bCs/>
        </w:rPr>
      </w:pPr>
      <w:r>
        <w:rPr>
          <w:b/>
          <w:bCs/>
        </w:rPr>
      </w:r>
    </w:p>
    <w:p>
      <w:pPr>
        <w:pStyle w:val="Normal"/>
        <w:rPr/>
      </w:pPr>
      <w:r>
        <w:rPr>
          <w:bCs/>
          <w:iCs/>
        </w:rPr>
        <w:t>As for the Administration, President Bush</w:t>
      </w:r>
      <w:r>
        <w:rPr/>
        <w:t xml:space="preserve"> continues to signal that he wants to sign a broad energy bill into law this year.  Indeed, he said this week that energy legislation was one of three near-term domestic priorities (along with an economic stimulus package and new trade promotion authority).  The White House and the Congressional Republican leaders continue to urge Senate Democrats to move ahead.</w:t>
      </w:r>
    </w:p>
    <w:p>
      <w:pPr>
        <w:pStyle w:val="Header"/>
        <w:tabs>
          <w:tab w:val="clear" w:pos="4320"/>
          <w:tab w:val="left" w:pos="720" w:leader="none"/>
          <w:tab w:val="right" w:pos="8640" w:leader="none"/>
        </w:tabs>
        <w:rPr/>
      </w:pPr>
      <w:r>
        <w:rPr/>
      </w:r>
    </w:p>
    <w:p>
      <w:pPr>
        <w:pStyle w:val="Header"/>
        <w:tabs>
          <w:tab w:val="clear" w:pos="4320"/>
          <w:tab w:val="left" w:pos="720" w:leader="none"/>
          <w:tab w:val="right" w:pos="8640" w:leader="none"/>
        </w:tabs>
        <w:rPr/>
      </w:pPr>
      <w:r>
        <w:rPr/>
        <w:t xml:space="preserve">As always, Lighthouse will continue to keep you posted as developments warrant.  Meanwhile, we welcome your inquiries or requests for additional detail. </w:t>
      </w:r>
    </w:p>
    <w:sectPr>
      <w:headerReference w:type="default" r:id="rId3"/>
      <w:headerReference w:type="first" r:id="rId4"/>
      <w:footerReference w:type="default" r:id="rId5"/>
      <w:footerReference w:type="first" r:id="rId6"/>
      <w:type w:val="nextPage"/>
      <w:pgSz w:w="12240" w:h="15840"/>
      <w:pgMar w:left="1440" w:right="1296" w:gutter="0" w:header="720" w:top="1440" w:footer="576"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rus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pPr>
    <w:r>
      <w:rPr>
        <w:sz w:val="20"/>
      </w:rPr>
      <w:t>1200 18</w:t>
    </w:r>
    <w:r>
      <w:rPr>
        <w:sz w:val="20"/>
        <w:vertAlign w:val="superscript"/>
      </w:rPr>
      <w:t>th</w:t>
    </w:r>
    <w:r>
      <w:rPr>
        <w:sz w:val="20"/>
      </w:rPr>
      <w:t xml:space="preserve"> Street, N.W., Suite 850, Washington, D.C. 20036</w:t>
    </w:r>
  </w:p>
  <w:p>
    <w:pPr>
      <w:pStyle w:val="Footer"/>
      <w:pBdr>
        <w:top w:val="single" w:sz="4" w:space="1" w:color="000000"/>
      </w:pBdr>
      <w:jc w:val="center"/>
      <w:rPr>
        <w:sz w:val="20"/>
      </w:rPr>
    </w:pPr>
    <w:r>
      <w:rPr>
        <w:sz w:val="20"/>
      </w:rPr>
      <w:t>Ph.: (202) 822-2000 Fax: (202) 822-2156 E-mail: tanderson@lighthouse-energy.com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rFonts w:ascii="Century Gothic" w:hAnsi="Century Gothic" w:cs="Century Gothic"/>
      </w:rPr>
    </w:pPr>
    <w:r>
      <w:rPr>
        <w:rFonts w:cs="Century Gothic" w:ascii="Century Gothic" w:hAnsi="Century Gothic"/>
      </w:rPr>
      <w:t>Lighthouse Energy Group, LLC</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Fonts w:ascii="Century Gothic" w:hAnsi="Century Gothic" w:cs="Century Gothic"/>
      </w:rPr>
    </w:pPr>
    <w:r>
      <w:rPr>
        <w:rFonts w:cs="Century Gothic" w:ascii="Century Gothic" w:hAnsi="Century Gothic"/>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rus BT" w:hAnsi="Arrus BT" w:eastAsia="Times New Roman" w:cs="Arrus BT"/>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right" w:pos="8640" w:leader="none"/>
      </w:tabs>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752" w:leader="none"/>
        <w:tab w:val="right" w:pos="9504"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2001-10-12T19:18:00Z</dcterms:created>
  <dc:creator>Default</dc:creator>
  <dc:description/>
  <dc:language>en-CA</dc:language>
  <cp:lastModifiedBy>Default</cp:lastModifiedBy>
  <cp:lastPrinted>2001-10-12T16:07:00Z</cp:lastPrinted>
  <dcterms:modified xsi:type="dcterms:W3CDTF">2001-10-12T21:20:00Z</dcterms:modified>
  <cp:revision>37</cp:revision>
  <dc:subject/>
  <dc:title> </dc:title>
</cp:coreProperties>
</file>