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tabs>
          <w:tab w:val="left" w:pos="720" w:leader="none"/>
          <w:tab w:val="right" w:pos="4500" w:leader="none"/>
          <w:tab w:val="left" w:pos="4860" w:leader="none"/>
          <w:tab w:val="right" w:pos="9180" w:leader="none"/>
        </w:tabs>
        <w:jc w:val="center"/>
        <w:rPr>
          <w:sz w:val="28"/>
        </w:rPr>
      </w:pPr>
      <w:r>
        <w:rPr>
          <w:sz w:val="28"/>
        </w:rPr>
        <w:t>PG&amp;E Gas Transmission, Northwest Corporation</w:t>
      </w:r>
    </w:p>
    <w:p>
      <w:pPr>
        <w:pStyle w:val="Normal"/>
        <w:jc w:val="center"/>
        <w:rPr>
          <w:sz w:val="22"/>
        </w:rPr>
      </w:pPr>
      <w:r>
        <w:rPr>
          <w:b/>
          <w:sz w:val="28"/>
        </w:rPr>
        <w:t xml:space="preserve">The Washington Lateral </w:t>
      </w:r>
    </w:p>
    <w:p>
      <w:pPr>
        <w:pStyle w:val="Normal"/>
        <w:tabs>
          <w:tab w:val="clear" w:pos="720"/>
          <w:tab w:val="left" w:pos="2160" w:leader="none"/>
          <w:tab w:val="left" w:pos="4320" w:leader="none"/>
        </w:tabs>
        <w:jc w:val="center"/>
        <w:rPr>
          <w:b/>
          <w:sz w:val="28"/>
          <w:u w:val="single"/>
        </w:rPr>
      </w:pPr>
      <w:r>
        <w:rPr>
          <w:b/>
          <w:sz w:val="28"/>
          <w:u w:val="single"/>
        </w:rPr>
      </w:r>
    </w:p>
    <w:p>
      <w:pPr>
        <w:pStyle w:val="Center"/>
        <w:numPr>
          <w:ilvl w:val="0"/>
          <w:numId w:val="0"/>
        </w:numPr>
        <w:tabs>
          <w:tab w:val="clear" w:pos="720"/>
          <w:tab w:val="left" w:pos="0" w:leader="none"/>
        </w:tabs>
        <w:spacing w:lineRule="auto" w:line="240" w:before="0" w:after="120"/>
        <w:outlineLvl w:val="0"/>
        <w:rPr>
          <w:rFonts w:ascii="Times New Roman" w:hAnsi="Times New Roman" w:cs="Times New Roman"/>
          <w:b/>
          <w:sz w:val="28"/>
          <w:u w:val="single"/>
        </w:rPr>
      </w:pPr>
      <w: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rFonts w:cs="Times New Roman" w:ascii="Times New Roman" w:hAnsi="Times New Roman"/>
          <w:b/>
          <w:sz w:val="28"/>
          <w:u w:val="single"/>
        </w:rPr>
        <w:t>FIRM TRANSPORTATION PRECEDENT AGREEMENT</w:t>
      </w:r>
    </w:p>
    <w:p>
      <w:pPr>
        <w:pStyle w:val="Center"/>
        <w:tabs>
          <w:tab w:val="clear" w:pos="720"/>
          <w:tab w:val="left" w:pos="0" w:leader="none"/>
        </w:tabs>
        <w:spacing w:lineRule="auto" w:line="240" w:before="0" w:after="120"/>
        <w:jc w:val="start"/>
        <w:rPr>
          <w:rFonts w:ascii="Times New Roman" w:hAnsi="Times New Roman" w:cs="Times New Roman"/>
          <w:b/>
          <w:sz w:val="22"/>
        </w:rPr>
      </w:pPr>
      <w:r>
        <w:rPr>
          <w:rFonts w:cs="Times New Roman" w:ascii="Times New Roman" w:hAnsi="Times New Roman"/>
          <w:b/>
          <w:sz w:val="22"/>
        </w:rPr>
        <w:br/>
      </w:r>
    </w:p>
    <w:p>
      <w:pPr>
        <w:pStyle w:val="BodyTextStyle"/>
        <w:spacing w:lineRule="auto" w:line="240" w:before="0" w:after="240"/>
        <w:rPr>
          <w:rFonts w:ascii="Times New Roman" w:hAnsi="Times New Roman" w:cs="Times New Roman"/>
          <w:sz w:val="22"/>
        </w:rPr>
      </w:pPr>
      <w:r>
        <w:rPr>
          <w:rFonts w:cs="Times New Roman" w:ascii="Times New Roman" w:hAnsi="Times New Roman"/>
          <w:sz w:val="22"/>
        </w:rPr>
        <w:t>This Agreement, to be called a “Firm Transportation Precedent Agreement,” (“Precedent Agreement”) is made as of ________, 2001, by and between PG&amp;E Gas Transmission, Northwest Corporation, a California Corporation ("Transporter" or “GTN”) and _______________________, a ________________ corporation ("Shipper") (collectively, the "Parties") pursuant to the following terms and representations:</w:t>
      </w:r>
    </w:p>
    <w:p>
      <w:pPr>
        <w:pStyle w:val="Center"/>
        <w:numPr>
          <w:ilvl w:val="0"/>
          <w:numId w:val="0"/>
        </w:numPr>
        <w:spacing w:lineRule="auto" w:line="240" w:before="240" w:after="240"/>
        <w:outlineLvl w:val="0"/>
        <w:rPr>
          <w:rFonts w:ascii="Times New Roman" w:hAnsi="Times New Roman" w:cs="Times New Roman"/>
          <w:sz w:val="22"/>
        </w:rPr>
      </w:pPr>
      <w:r>
        <w:rPr>
          <w:rFonts w:cs="Times New Roman" w:ascii="Times New Roman" w:hAnsi="Times New Roman"/>
          <w:b/>
          <w:sz w:val="22"/>
        </w:rPr>
        <w:t>W I T N E S S E T H:</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rPr>
          <w:sz w:val="22"/>
        </w:rPr>
      </w:pPr>
      <w:r>
        <w:rPr>
          <w:sz w:val="22"/>
        </w:rPr>
        <w:tab/>
        <w:t xml:space="preserve">WHEREAS, Transporter owns and operates a natural gas pipeline transmission system which extends from a point of interconnection with the pipeline facilities of TransCanada Pipelines Limited (“TransCanada”) at the International Boundary near Kingsgate, British Columbia, through the states of Idaho, Washington and Oregon to a point of interconnection with Pacific Gas and Electric Company at the Oregon-California border near Malin, Oregon; </w:t>
      </w:r>
    </w:p>
    <w:p>
      <w:pPr>
        <w:pStyle w:val="BodyText"/>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rPr/>
      </w:pPr>
      <w:r>
        <w:rPr/>
        <w:t xml:space="preserve">WHEREAS, Transporter held an Open Season during May and June 2001 for Shippers </w:t>
      </w:r>
      <w:r>
        <w:rPr>
          <w:sz w:val="24"/>
        </w:rPr>
        <w:t>desiring firm transportation service to Central and Western Washington;</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rPr>
          <w:color w:val="000000"/>
          <w:sz w:val="24"/>
        </w:rPr>
      </w:pPr>
      <w:r>
        <w:rPr>
          <w:sz w:val="24"/>
        </w:rPr>
        <w:tab/>
        <w:t>WHEREAS, Transporter intends to expand its system by constructing a new pipeline extending from GTN’s mainline system in Eastern Washington to a terminus at or near Northwest Pipeline Corporation’s mainline system in Washington’s Interstate-5 corridor (the “Washington Lateral”), specifically subject to the conditions set forth in Paragraph 6 of this Precedent Agreement and the rest of the terms and conditions of this Precedent Agreement;</w:t>
        <w:tab/>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rPr>
          <w:sz w:val="24"/>
        </w:rPr>
      </w:pPr>
      <w:r>
        <w:rPr>
          <w:sz w:val="24"/>
        </w:rPr>
        <w:tab/>
        <w:t>WHEREAS, Shipper is requesting firm natural gas transportation service for the transportation of natural gas on the Washington Lateral based on the Annual Maximum Daily Quantity, Delivery Point, Receipt Point, and Contract Term and Rate as set forth on Exhibit A hereto; and</w:t>
      </w:r>
    </w:p>
    <w:p>
      <w:pPr>
        <w:pStyle w:val="BodyTextStyle"/>
        <w:spacing w:lineRule="auto" w:line="240" w:before="0" w:after="240"/>
        <w:ind w:firstLine="720" w:end="0"/>
        <w:rPr>
          <w:rFonts w:ascii="Times New Roman" w:hAnsi="Times New Roman" w:cs="Times New Roman"/>
        </w:rPr>
      </w:pPr>
      <w:r>
        <w:rPr>
          <w:rFonts w:cs="Times New Roman" w:ascii="Times New Roman" w:hAnsi="Times New Roman"/>
        </w:rPr>
        <w:t>WHEREAS, Shipper is requesting firm natural gas transportation service to commence on or after November 1, 2004, as more specifically provided for in Paragraph 4 of this Precedent Agreement.</w:t>
      </w:r>
    </w:p>
    <w:p>
      <w:pPr>
        <w:pStyle w:val="BodyTextStyle"/>
        <w:spacing w:lineRule="auto" w:line="240" w:before="0" w:after="240"/>
        <w:ind w:firstLine="720" w:end="0"/>
        <w:rPr>
          <w:rFonts w:ascii="Times New Roman" w:hAnsi="Times New Roman" w:cs="Times New Roman"/>
        </w:rPr>
      </w:pPr>
      <w:r>
        <w:rPr>
          <w:rFonts w:cs="Times New Roman" w:ascii="Times New Roman" w:hAnsi="Times New Roman"/>
        </w:rPr>
        <w:t>NOW, THEREFORE, in consideration of the mutual covenants herein assumed, Transporter and Shipper agree as follows:</w:t>
      </w:r>
    </w:p>
    <w:p>
      <w:pPr>
        <w:pStyle w:val="Heading7"/>
        <w:numPr>
          <w:ilvl w:val="0"/>
          <w:numId w:val="1"/>
        </w:numPr>
        <w:rPr>
          <w:b w:val="false"/>
          <w:sz w:val="24"/>
          <w:u w:val="none"/>
        </w:rPr>
      </w:pPr>
      <w:r>
        <w:rPr>
          <w:b w:val="false"/>
          <w:sz w:val="24"/>
        </w:rPr>
        <w:t>Effective Date</w:t>
      </w:r>
      <w:r>
        <w:rPr>
          <w:b w:val="false"/>
          <w:sz w:val="24"/>
          <w:u w:val="none"/>
        </w:rPr>
        <w:t xml:space="preserve">. </w:t>
      </w:r>
      <w:r>
        <w:rPr>
          <w:sz w:val="24"/>
          <w:u w:val="none"/>
        </w:rPr>
        <w:t xml:space="preserve"> </w:t>
      </w:r>
      <w:r>
        <w:rPr>
          <w:b w:val="false"/>
          <w:sz w:val="24"/>
          <w:u w:val="none"/>
        </w:rPr>
        <w:t>This Precedent Agreement shall become effective as of the date of execution and shall continue in effect until (i) the commencement of service under the Firm Transportation Service Agreement (“FTSA”), in which case the rights and obligations of the Parties related to the natural gas transportation service contemplated herein shall thereafter be determined pursuant to the terms and conditions of the FTSA and of Transporter’s Federal Energy Regulatory Commission ("FERC") Gas Tariff (“Tariff”), in effect from time to time; or (ii) the date that this Precedent Agreement is terminated pursuant to Paragraph 6 or 7.</w:t>
      </w:r>
    </w:p>
    <w:p>
      <w:pPr>
        <w:pStyle w:val="Heading7"/>
        <w:rPr>
          <w:b w:val="false"/>
          <w:sz w:val="24"/>
          <w:u w:val="none"/>
        </w:rPr>
      </w:pPr>
      <w:r>
        <w:rPr>
          <w:b w:val="false"/>
          <w:sz w:val="24"/>
          <w:u w:val="none"/>
        </w:rPr>
      </w:r>
    </w:p>
    <w:p>
      <w:pPr>
        <w:pStyle w:val="Heading7"/>
        <w:numPr>
          <w:ilvl w:val="0"/>
          <w:numId w:val="1"/>
        </w:numPr>
        <w:rPr>
          <w:b w:val="false"/>
          <w:sz w:val="24"/>
          <w:u w:val="none"/>
        </w:rPr>
      </w:pPr>
      <w:r>
        <w:rPr>
          <w:b w:val="false"/>
          <w:sz w:val="24"/>
        </w:rPr>
        <w:t>Regulatory Approvals</w:t>
      </w:r>
      <w:r>
        <w:rPr>
          <w:b w:val="false"/>
          <w:sz w:val="24"/>
          <w:u w:val="none"/>
        </w:rPr>
        <w:t xml:space="preserve">.  Subject to the terms and conditions of this Precedent Agreement, Transporter shall proceed with due diligence to obtain from all governmental and regulatory authorities having jurisdiction such authorizations and/or exemptions, and any necessary amendments or supplements thereto, including without limitation authorizations from the Federal Energy Regulatory Commission (“FERC”) or any successor agency which Transporter determines are necessary to construct, own and operate the Washington Lateral and to provide transportation service for Shipper pursuant to the FTSA substantially in the form set forth in Transporter’s Tariff for service provided pursuant to Rate Schedule FTS-1, as modified to reflect service on the Washington Lateral (the “Regulatory Approvals”) in a timeframe designed to commence service by November 1, 2004.  Transporter reserves the right to file and prosecute any and all applications for such Regulatory Approvals (including the right at any time to withdraw any such application and/or to reject any Regulatory Approval) and, if necessary, any court review, in such manner as it deems to be in its best interest.  Shipper expressly agrees to support and cooperate, and not to oppose, obstruct or otherwise interfere with in any manner whatsoever the efforts of Transporter to obtain the Regulatory Approvals as contemplated in this Precedent Agreement, including but not limited to (i) the timely filing by Shipper of an intervention in support of Transporter's application for a FERC Certificate of Public Convenience and Necessity (“FERC Certificate”); and (ii) the provision of any information reasonably requested by Transporter in preparing applications for Regulatory Approvals or any information required by FERC or any other governmental or regulatory body to be submitted during review of such applications.  </w:t>
      </w:r>
    </w:p>
    <w:p>
      <w:pPr>
        <w:pStyle w:val="Heading7"/>
        <w:rPr>
          <w:b w:val="false"/>
          <w:sz w:val="24"/>
          <w:u w:val="none"/>
        </w:rPr>
      </w:pPr>
      <w:r>
        <w:rPr>
          <w:b w:val="false"/>
          <w:sz w:val="24"/>
          <w:u w:val="none"/>
        </w:rPr>
      </w:r>
    </w:p>
    <w:p>
      <w:pPr>
        <w:pStyle w:val="Heading7"/>
        <w:numPr>
          <w:ilvl w:val="0"/>
          <w:numId w:val="1"/>
        </w:numPr>
        <w:rPr>
          <w:b w:val="false"/>
          <w:sz w:val="24"/>
          <w:u w:val="none"/>
        </w:rPr>
      </w:pPr>
      <w:r>
        <w:rPr>
          <w:b w:val="false"/>
          <w:sz w:val="24"/>
        </w:rPr>
        <w:t>Execution of Firm Transportation Service Agreement</w:t>
      </w:r>
      <w:r>
        <w:rPr>
          <w:b w:val="false"/>
          <w:sz w:val="24"/>
          <w:u w:val="none"/>
        </w:rPr>
        <w:t>.  Within thirty (30) days after Transporter’s receipt and acceptance of a FERC Certificate in form and substance satisfactory to Transporter, in Transporter’s reasonable sole discretion, and provided that this Precedent Agreement shall not have been earlier terminated in accordance with Paragraph 6 or 7, Transporter and Shipper shall execute a FTSA for service under Transporter’s Rate Schedule FTS-1 (WL), providing for the Maximum Daily Quantity (“MDQ”), Receipt Point and Delivery Point(s), Rate, and Contract Term as set forth in Exhibit A hereto.  Notwithstanding any other provision of this Precedent Agreement, Transporter shall have the right to pursue any legal and/or equitable remedies available in the event of Shipper’s breach of its obligation to execute a FTSA.</w:t>
      </w:r>
    </w:p>
    <w:p>
      <w:pPr>
        <w:pStyle w:val="Normal"/>
        <w:rPr>
          <w:b/>
          <w:sz w:val="24"/>
          <w:u w:val="none"/>
        </w:rPr>
      </w:pPr>
      <w:r>
        <w:rPr>
          <w:b/>
          <w:sz w:val="24"/>
          <w:u w:val="none"/>
        </w:rPr>
      </w:r>
    </w:p>
    <w:p>
      <w:pPr>
        <w:pStyle w:val="Heading7"/>
        <w:numPr>
          <w:ilvl w:val="0"/>
          <w:numId w:val="1"/>
        </w:numPr>
        <w:rPr>
          <w:b w:val="false"/>
          <w:sz w:val="24"/>
          <w:u w:val="none"/>
        </w:rPr>
      </w:pPr>
      <w:r>
        <w:rPr>
          <w:b w:val="false"/>
          <w:sz w:val="24"/>
        </w:rPr>
        <w:t>Commencement of Service</w:t>
      </w:r>
      <w:r>
        <w:rPr>
          <w:b w:val="false"/>
          <w:sz w:val="24"/>
          <w:u w:val="none"/>
        </w:rPr>
        <w:t>.  Subject to satisfaction or waiver of the conditions set forth in Paragraph 6, service under the FTSA will commence on the later of: (i) November 1, 2004; or (ii) the date on which Transporter constructs and places into service the Washington Lateral; or (iii) such later date as the Parties may agree.  Service shall continue from the date on which service commences for the Contract Term.  As of the date for commencement of service, Transporter shall stand ready to provide transportation service to Shipper and Shipper shall be liable to Transporter for all charges associated with the provision of such service.</w:t>
        <w:br/>
      </w:r>
    </w:p>
    <w:p>
      <w:pPr>
        <w:pStyle w:val="Heading7"/>
        <w:numPr>
          <w:ilvl w:val="0"/>
          <w:numId w:val="1"/>
        </w:numPr>
        <w:rPr>
          <w:b w:val="false"/>
          <w:sz w:val="24"/>
          <w:u w:val="none"/>
        </w:rPr>
      </w:pPr>
      <w:r>
        <w:rPr>
          <w:b w:val="false"/>
          <w:sz w:val="24"/>
        </w:rPr>
        <w:t>Rates</w:t>
      </w:r>
      <w:r>
        <w:rPr>
          <w:b w:val="false"/>
          <w:sz w:val="24"/>
          <w:u w:val="none"/>
        </w:rPr>
        <w:t xml:space="preserve">.  </w:t>
        <w:br/>
      </w:r>
    </w:p>
    <w:p>
      <w:pPr>
        <w:pStyle w:val="Heading8"/>
        <w:numPr>
          <w:ilvl w:val="0"/>
          <w:numId w:val="4"/>
        </w:numPr>
        <w:tabs>
          <w:tab w:val="clear" w:pos="720"/>
          <w:tab w:val="left" w:pos="810" w:leader="none"/>
        </w:tabs>
        <w:ind w:hanging="450" w:start="810" w:end="0"/>
        <w:rPr>
          <w:b w:val="false"/>
          <w:sz w:val="24"/>
          <w:u w:val="none"/>
        </w:rPr>
      </w:pPr>
      <w:r>
        <w:rPr>
          <w:b w:val="false"/>
          <w:sz w:val="24"/>
        </w:rPr>
        <w:t>Initial Rates</w:t>
      </w:r>
      <w:r>
        <w:rPr>
          <w:b w:val="false"/>
          <w:sz w:val="24"/>
          <w:u w:val="none"/>
        </w:rPr>
        <w:t xml:space="preserve">.  The initial recourse rate for service on the Washington Lateral shall be an incremental rate as approved in Transporter’s application for a FERC Certificate based on the incremental cost of the Washington Lateral facilities, as adjusted to reflect actual construction costs, plus all surcharges and fuel charges applicable to the provision of firm transportation service by Transporter for service on the Washington Lateral.  The initial rate shall be based on a straight fixed variable rate design and Shipper hereby agrees with such rate design methodology and further agrees to support such rate design methodology before FERC.  Shipper agrees to be bound by and not to oppose the initial rate; provided, however, nothing in this Agreement shall limit Shipper’s or Transporter’s rights to seek modification of the rate or rate design following the commencement of service under Section 4 or Section 5 of the Natural Gas Act. </w:t>
      </w:r>
    </w:p>
    <w:p>
      <w:pPr>
        <w:pStyle w:val="Heading8"/>
        <w:tabs>
          <w:tab w:val="clear" w:pos="720"/>
          <w:tab w:val="left" w:pos="810" w:leader="none"/>
        </w:tabs>
        <w:ind w:hanging="450" w:start="810" w:end="0"/>
        <w:rPr>
          <w:b w:val="false"/>
          <w:sz w:val="24"/>
          <w:u w:val="none"/>
        </w:rPr>
      </w:pPr>
      <w:r>
        <w:rPr>
          <w:b w:val="false"/>
          <w:sz w:val="24"/>
          <w:u w:val="none"/>
        </w:rPr>
      </w:r>
    </w:p>
    <w:p>
      <w:pPr>
        <w:pStyle w:val="Heading8"/>
        <w:numPr>
          <w:ilvl w:val="0"/>
          <w:numId w:val="4"/>
        </w:numPr>
        <w:tabs>
          <w:tab w:val="clear" w:pos="720"/>
          <w:tab w:val="left" w:pos="810" w:leader="none"/>
        </w:tabs>
        <w:ind w:hanging="450" w:start="810" w:end="0"/>
        <w:rPr>
          <w:b w:val="false"/>
          <w:sz w:val="24"/>
          <w:u w:val="none"/>
        </w:rPr>
      </w:pPr>
      <w:r>
        <w:rPr>
          <w:b w:val="false"/>
          <w:sz w:val="24"/>
        </w:rPr>
        <w:t>Negotiated Rates.</w:t>
      </w:r>
      <w:r>
        <w:rPr>
          <w:b w:val="false"/>
          <w:sz w:val="24"/>
          <w:u w:val="none"/>
        </w:rPr>
        <w:t xml:space="preserve">  Notwithstanding Section 5(a) above, Transporter and Shipper may agree on a negotiated rate as specified in Exhibit A hereto, if applicable.</w:t>
        <w:br/>
      </w:r>
    </w:p>
    <w:p>
      <w:pPr>
        <w:pStyle w:val="Heading7"/>
        <w:numPr>
          <w:ilvl w:val="0"/>
          <w:numId w:val="1"/>
        </w:numPr>
        <w:rPr>
          <w:b w:val="false"/>
          <w:sz w:val="24"/>
          <w:u w:val="none"/>
        </w:rPr>
      </w:pPr>
      <w:r>
        <w:rPr>
          <w:b w:val="false"/>
          <w:sz w:val="24"/>
        </w:rPr>
        <w:t>Transporter’s Conditions Precedent</w:t>
      </w:r>
      <w:r>
        <w:rPr>
          <w:b w:val="false"/>
          <w:sz w:val="24"/>
          <w:u w:val="none"/>
        </w:rPr>
        <w:t>.  Notwithstanding the Parties’ execution of this Precedent Agreement or a FTSA, Transporter’s obligations to continue to develop and to construct and operate the Washington Lateral and/or to provide transportation service for Shipper are expressly made subject to (i) Transporter’s receipt and acceptance of all Regulatory Approvals, including without limitation regulatory approvals to be issued by the FERC or any other regulatory authorities, and procurement of all necessary rights of way, easements or other property or contract rights necessary to the construction, ownership and operation of the Washington Lateral and the provision of transportation service for Shipper, all in form and substance satisfactory to Transporter in Transporter’s reasonable sole discretion; (ii) the existence of executed Precedent Agreements and/or FTSAs at any time during the development of the Washington Lateral providing for transportation service of daily quantities sufficient to support the construction and operation of the Washington Lateral on an economic basis acceptable to Transporter in Transporter’s reasonable sole discretion; (iii) ongoing satisfaction by Shipper of the creditworthiness provisions as set forth in Section 9 herein and other requirements for service set forth in Transporter’s Tariff; (iv) the determination of the Board of Directors of Transporter to commit to construction of the Washington Lateral; and (v) Shipper successfully obtaining any permits identified in Section 7(c) and/or waiving its termination rights under Section 7(c) no later than October 8, 2002.</w:t>
        <w:br/>
        <w:t xml:space="preserve">All Regulatory Approvals required by this Precedent Agreement must be duly granted by the governmental agency or authority having jurisdiction and must be final and no longer subject to rehearing or appeal; </w:t>
      </w:r>
      <w:r>
        <w:rPr>
          <w:b w:val="false"/>
          <w:sz w:val="24"/>
        </w:rPr>
        <w:t>provided</w:t>
      </w:r>
      <w:r>
        <w:rPr>
          <w:b w:val="false"/>
          <w:sz w:val="24"/>
          <w:u w:val="none"/>
        </w:rPr>
        <w:t xml:space="preserve">, </w:t>
      </w:r>
      <w:r>
        <w:rPr>
          <w:b w:val="false"/>
          <w:sz w:val="24"/>
        </w:rPr>
        <w:t>however</w:t>
      </w:r>
      <w:r>
        <w:rPr>
          <w:b w:val="false"/>
          <w:sz w:val="24"/>
          <w:u w:val="none"/>
        </w:rPr>
        <w:t>, that Transporter may waive the requirement that any such regulatory approval be final and no longer subject to rehearing or appeal.  To facilitate Transporter’s ability to develop the Washington Lateral, Shipper shall not make any commitment related to transportation service from other entities that would be in lieu of any portion of the transportation service contemplated hereunder.</w:t>
        <w:br/>
        <w:br/>
        <w:t>If at any time following execution, any of the conditions set forth in this Paragraph 6 have not been met, then Transporter shall have the right to terminate this Precedent Agreement and/or the FTSA on thirty (30) days written notice to Shipper and this Precedent Agreement and/or the FTSA shall terminate effective upon expiration of such thirty (30) day period and shall thereafter be of no further force and effect.</w:t>
        <w:br/>
      </w:r>
    </w:p>
    <w:p>
      <w:pPr>
        <w:pStyle w:val="Heading7"/>
        <w:numPr>
          <w:ilvl w:val="0"/>
          <w:numId w:val="6"/>
        </w:numPr>
        <w:rPr>
          <w:b w:val="false"/>
          <w:sz w:val="24"/>
          <w:u w:val="none"/>
        </w:rPr>
      </w:pPr>
      <w:r>
        <w:rPr>
          <w:b w:val="false"/>
          <w:sz w:val="24"/>
        </w:rPr>
        <w:t>Shipper’s Capacity and Termination Options</w:t>
      </w:r>
      <w:r>
        <w:rPr>
          <w:b w:val="false"/>
          <w:sz w:val="24"/>
          <w:u w:val="none"/>
        </w:rPr>
        <w:t>.</w:t>
      </w:r>
    </w:p>
    <w:p>
      <w:pPr>
        <w:pStyle w:val="Normal"/>
        <w:rPr>
          <w:b/>
          <w:sz w:val="24"/>
          <w:u w:val="none"/>
        </w:rPr>
      </w:pPr>
      <w:r>
        <w:rPr>
          <w:b/>
          <w:sz w:val="24"/>
          <w:u w:val="none"/>
        </w:rPr>
      </w:r>
    </w:p>
    <w:p>
      <w:pPr>
        <w:pStyle w:val="Heading8"/>
        <w:spacing w:before="120" w:after="120"/>
        <w:ind w:hanging="360" w:end="0"/>
        <w:rPr/>
      </w:pPr>
      <w:r>
        <w:rPr>
          <w:b w:val="false"/>
          <w:sz w:val="24"/>
          <w:u w:val="none"/>
        </w:rPr>
        <w:t>a.</w:t>
        <w:tab/>
      </w:r>
      <w:r>
        <w:rPr>
          <w:b w:val="false"/>
          <w:sz w:val="24"/>
        </w:rPr>
        <w:t>Mainline Capacity Option</w:t>
      </w:r>
      <w:r>
        <w:rPr>
          <w:b w:val="false"/>
          <w:sz w:val="24"/>
          <w:u w:val="none"/>
        </w:rPr>
        <w:t>.  Both Transporter and Shipper recognize that Shipper may desire additional capacity on GTN’s existing system upstream of the point at which the Washington Lateral interconnects with GTN’s existing system (“Mainline GTN Capacity”).  At any time prior to the in-service date of the Washington Lateral, Shipper may submit a written request for Mainline GTN Capacity in the form included in Exhibit B hereto.  Transporter agrees to hold an open season within ninety (90) days of such request to determine interest in an expansion of its existing system (and to facilitate capacity rationalization) between Kingsgate and the Washington Lateral interconnection, subject to Shipper’s agreement to submit a binding bid for the requested capacity during the open season.  If Transporter accepts Shipper’s bid, Transporter shall use due diligence to (i) pursue all permits and construction of the expansion capacity; and (ii) place the expansion capacity in service by the first November 1 occurring at least 24 months from Shipper’s submission of a binding bid in the open season held pursuant to this provision.  Nothing in this paragraph shall require Transporter to accept bids below the higher of the incremental cost-based rate for Mainline GTN Capacity or the highest approved rate for service on GTN’s existing main line facilities.</w:t>
      </w:r>
    </w:p>
    <w:p>
      <w:pPr>
        <w:pStyle w:val="Normal"/>
        <w:ind w:hanging="360" w:start="720" w:end="0"/>
        <w:rPr/>
      </w:pPr>
      <w:r>
        <w:rPr>
          <w:sz w:val="24"/>
        </w:rPr>
        <w:t>b.</w:t>
        <w:tab/>
        <w:t xml:space="preserve"> </w:t>
      </w:r>
      <w:r>
        <w:rPr>
          <w:sz w:val="24"/>
          <w:u w:val="single"/>
        </w:rPr>
        <w:t>Rate Option</w:t>
      </w:r>
      <w:r>
        <w:rPr>
          <w:sz w:val="24"/>
        </w:rPr>
        <w:t xml:space="preserve">.  The estimated initial recourse rate for service under this Precedent Agreement on a 100% load factor basis (exclusive of fuel and ACA and GRI surcharges) shall be [$_______] per Dth (“Estimated Initial Recourse Rate”).  If Shipper is contracting for service at the Recourse Rate or at a negotiated rate initially calculated by reference to the Recourse Rate, then Transporter shall provide Shipper notice by October 15, 2001 setting forth the firm transportation rate for service through the Washington Lateral that Transporter intends to include in its FERC Certificate application (the “Proposed Initial Certificate Rate”).  If the Proposed Initial Certificate Rate expressed on a 100 percent load factor basis exceeds the Estimated Initial Recourse Rate, Shipper shall have the option to terminate this Precedent Agreement within seven (7) days of the date of such notice or such termination right shall be deemed to have been waived.  </w:t>
      </w:r>
    </w:p>
    <w:p>
      <w:pPr>
        <w:pStyle w:val="Normal"/>
        <w:ind w:hanging="360" w:start="720" w:end="0"/>
        <w:rPr>
          <w:sz w:val="24"/>
        </w:rPr>
      </w:pPr>
      <w:r>
        <w:rPr>
          <w:sz w:val="24"/>
        </w:rPr>
      </w:r>
    </w:p>
    <w:p>
      <w:pPr>
        <w:pStyle w:val="Normal"/>
        <w:ind w:hanging="360" w:start="720" w:end="0"/>
        <w:rPr/>
      </w:pPr>
      <w:r>
        <w:rPr>
          <w:sz w:val="24"/>
        </w:rPr>
        <w:t>c.</w:t>
        <w:tab/>
      </w:r>
      <w:r>
        <w:rPr>
          <w:sz w:val="24"/>
          <w:u w:val="single"/>
        </w:rPr>
        <w:t>Shipper Permits</w:t>
      </w:r>
      <w:r>
        <w:rPr>
          <w:sz w:val="24"/>
        </w:rPr>
        <w:t>.  Shipper agrees to diligently pursue any necessary regulatory permits required to facilitate shipper’s utilization of capacity on Transporter’s Washington Lateral, including, if applicable, a permit from the Washington Energy Facilities Site Evaluation Council (“EFSEC”) to construct electric generation facilities. If, despite diligent efforts, Shipper has not obtained the permits identified on Exhibit C by October 1, 2002 Shipper shall have the option to terminate this Precedent Agreement by notifying Transporter of such termination in writing no later than October 8, 2002 and reimbursing Transporter for Shipper’s Pro Rata Share of any Development Costs as set forth in Paragraph 8.</w:t>
        <w:br/>
      </w:r>
    </w:p>
    <w:p>
      <w:pPr>
        <w:pStyle w:val="Heading7"/>
        <w:numPr>
          <w:ilvl w:val="0"/>
          <w:numId w:val="7"/>
        </w:numPr>
        <w:tabs>
          <w:tab w:val="clear" w:pos="720"/>
          <w:tab w:val="left" w:pos="360" w:leader="none"/>
        </w:tabs>
        <w:ind w:hanging="360" w:start="360" w:end="0"/>
        <w:rPr>
          <w:b w:val="false"/>
          <w:u w:val="none"/>
        </w:rPr>
      </w:pPr>
      <w:r>
        <w:rPr>
          <w:b w:val="false"/>
        </w:rPr>
        <w:t>Reimbursement of Development Costs</w:t>
      </w:r>
      <w:r>
        <w:rPr>
          <w:b w:val="false"/>
          <w:u w:val="none"/>
        </w:rPr>
        <w:t xml:space="preserve"> Upon Termination. The Parties acknowledge that Transporter shall incur costs related to its development of the Washington Lateral Project (“Development Costs”).  The Parties’ responsibility for the Development Costs shall be as follows:</w:t>
      </w:r>
    </w:p>
    <w:p>
      <w:pPr>
        <w:pStyle w:val="Normal"/>
        <w:rPr>
          <w:b/>
          <w:u w:val="none"/>
        </w:rPr>
      </w:pPr>
      <w:r>
        <w:rPr>
          <w:b/>
          <w:u w:val="none"/>
        </w:rPr>
      </w:r>
    </w:p>
    <w:p>
      <w:pPr>
        <w:pStyle w:val="Normal"/>
        <w:numPr>
          <w:ilvl w:val="0"/>
          <w:numId w:val="2"/>
        </w:numPr>
        <w:rPr>
          <w:sz w:val="24"/>
        </w:rPr>
      </w:pPr>
      <w:r>
        <w:rPr>
          <w:sz w:val="24"/>
          <w:u w:val="single"/>
        </w:rPr>
        <w:t>Route Feasibility Stage</w:t>
      </w:r>
      <w:r>
        <w:rPr>
          <w:sz w:val="24"/>
        </w:rPr>
        <w:t>:  If, following execution of this Agreement,   (i) Shipper terminates the Agreement pursuant to Paragraph 7(b) or (ii) Transporter terminates the Agreement pursuant to Paragraph 6 on or before October 22, 2001, Shipper shall not be responsible for any Development Costs.</w:t>
        <w:br/>
      </w:r>
    </w:p>
    <w:p>
      <w:pPr>
        <w:pStyle w:val="Normal"/>
        <w:numPr>
          <w:ilvl w:val="0"/>
          <w:numId w:val="2"/>
        </w:numPr>
        <w:rPr>
          <w:sz w:val="24"/>
        </w:rPr>
      </w:pPr>
      <w:r>
        <w:rPr>
          <w:sz w:val="24"/>
          <w:u w:val="single"/>
        </w:rPr>
        <w:t>Application Preparation Phase</w:t>
      </w:r>
      <w:r>
        <w:rPr>
          <w:sz w:val="24"/>
        </w:rPr>
        <w:t>:</w:t>
        <w:br/>
      </w:r>
    </w:p>
    <w:p>
      <w:pPr>
        <w:pStyle w:val="BodyTextIndent"/>
        <w:numPr>
          <w:ilvl w:val="0"/>
          <w:numId w:val="3"/>
        </w:numPr>
        <w:tabs>
          <w:tab w:val="clear" w:pos="720"/>
          <w:tab w:val="left" w:pos="1440" w:leader="none"/>
        </w:tabs>
        <w:ind w:hanging="720" w:start="1440" w:end="0"/>
        <w:rPr/>
      </w:pPr>
      <w:r>
        <w:rPr/>
        <w:t>If Shipper terminates the Agreement in accordance with Paragraph 7(c), Shipper shall be responsible for its Pro Rata Share of Development Costs.  For purposes of this Section 8(b), Shipper’s Pro Rata Share of Development Costs shall be calculated in accordance with the following formula:</w:t>
      </w:r>
    </w:p>
    <w:p>
      <w:pPr>
        <w:pStyle w:val="BodyTextIndent"/>
        <w:tabs>
          <w:tab w:val="clear" w:pos="720"/>
          <w:tab w:val="left" w:pos="1440" w:leader="none"/>
        </w:tabs>
        <w:ind w:start="720" w:end="0"/>
        <w:rPr/>
      </w:pPr>
      <w:r>
        <w:rPr/>
      </w:r>
    </w:p>
    <w:p>
      <w:pPr>
        <w:pStyle w:val="BodyTextIndent"/>
        <w:tabs>
          <w:tab w:val="clear" w:pos="720"/>
          <w:tab w:val="left" w:pos="1440" w:leader="none"/>
        </w:tabs>
        <w:ind w:start="1470" w:end="0"/>
        <w:rPr/>
      </w:pPr>
      <w:r>
        <w:rPr/>
        <w:t>Pro Rata Share  = (SMDQ / WLPS) * ADC * 50%</w:t>
      </w:r>
    </w:p>
    <w:p>
      <w:pPr>
        <w:pStyle w:val="BodyTextIndent"/>
        <w:tabs>
          <w:tab w:val="clear" w:pos="720"/>
          <w:tab w:val="left" w:pos="1440" w:leader="none"/>
        </w:tabs>
        <w:ind w:start="1470" w:end="0"/>
        <w:rPr/>
      </w:pPr>
      <w:r>
        <w:rPr/>
      </w:r>
    </w:p>
    <w:p>
      <w:pPr>
        <w:pStyle w:val="BodyTextIndent"/>
        <w:tabs>
          <w:tab w:val="clear" w:pos="720"/>
          <w:tab w:val="left" w:pos="1440" w:leader="none"/>
        </w:tabs>
        <w:ind w:start="1470" w:end="0"/>
        <w:rPr/>
      </w:pPr>
      <w:r>
        <w:rPr>
          <w:i/>
        </w:rPr>
        <w:t>Where</w:t>
      </w:r>
      <w:r>
        <w:rPr/>
        <w:t>:</w:t>
      </w:r>
    </w:p>
    <w:p>
      <w:pPr>
        <w:pStyle w:val="BodyTextIndent"/>
        <w:tabs>
          <w:tab w:val="clear" w:pos="720"/>
          <w:tab w:val="left" w:pos="1440" w:leader="none"/>
        </w:tabs>
        <w:ind w:start="1470" w:end="0"/>
        <w:rPr/>
      </w:pPr>
      <w:r>
        <w:rPr/>
      </w:r>
    </w:p>
    <w:p>
      <w:pPr>
        <w:pStyle w:val="BodyTextIndent"/>
        <w:tabs>
          <w:tab w:val="clear" w:pos="720"/>
          <w:tab w:val="left" w:pos="1440" w:leader="none"/>
        </w:tabs>
        <w:ind w:start="1470" w:end="0"/>
        <w:rPr/>
      </w:pPr>
      <w:r>
        <w:rPr>
          <w:b/>
        </w:rPr>
        <w:t>SMDQ</w:t>
      </w:r>
      <w:r>
        <w:rPr/>
        <w:t xml:space="preserve"> is Shipper’s Annual Maximum Daily Quantity set forth on Exhibit A; </w:t>
      </w:r>
    </w:p>
    <w:p>
      <w:pPr>
        <w:pStyle w:val="BodyTextIndent"/>
        <w:tabs>
          <w:tab w:val="clear" w:pos="720"/>
          <w:tab w:val="left" w:pos="1440" w:leader="none"/>
        </w:tabs>
        <w:ind w:start="1470" w:end="0"/>
        <w:rPr/>
      </w:pPr>
      <w:r>
        <w:rPr/>
      </w:r>
    </w:p>
    <w:p>
      <w:pPr>
        <w:pStyle w:val="BodyTextIndent"/>
        <w:tabs>
          <w:tab w:val="clear" w:pos="720"/>
          <w:tab w:val="left" w:pos="1440" w:leader="none"/>
        </w:tabs>
        <w:ind w:start="1470" w:end="0"/>
        <w:rPr/>
      </w:pPr>
      <w:r>
        <w:rPr>
          <w:b/>
        </w:rPr>
        <w:t>WLPS</w:t>
      </w:r>
      <w:r>
        <w:rPr/>
        <w:t xml:space="preserve"> is the Washington Lateral Project Size (as designated by GTN no later than November 15, 2001); and</w:t>
        <w:br/>
        <w:br/>
      </w:r>
      <w:r>
        <w:rPr>
          <w:b/>
        </w:rPr>
        <w:t>ADC</w:t>
      </w:r>
      <w:r>
        <w:rPr/>
        <w:t xml:space="preserve"> is the actual development costs incurred as of the date of termination up to a maximum amount of $8,500,000.</w:t>
      </w:r>
    </w:p>
    <w:p>
      <w:pPr>
        <w:pStyle w:val="BodyTextIndent"/>
        <w:tabs>
          <w:tab w:val="clear" w:pos="720"/>
          <w:tab w:val="left" w:pos="1440" w:leader="none"/>
        </w:tabs>
        <w:ind w:start="0" w:end="0"/>
        <w:rPr/>
      </w:pPr>
      <w:r>
        <w:rPr/>
      </w:r>
    </w:p>
    <w:p>
      <w:pPr>
        <w:pStyle w:val="BodyTextIndent"/>
        <w:tabs>
          <w:tab w:val="clear" w:pos="720"/>
          <w:tab w:val="left" w:pos="1440" w:leader="none"/>
        </w:tabs>
        <w:ind w:hanging="720" w:end="0"/>
        <w:rPr/>
      </w:pPr>
      <w:r>
        <w:rPr/>
        <w:t>(ii)</w:t>
        <w:tab/>
        <w:t>If Transporter terminates the Agreement in accordance with Paragraph 6 on or after October 23, 2001, but before Transporter files the FERC Certificate application  (“Application Preparation Phase”), Shipper shall be responsible for its Pro Rata Share of Development Costs as calculated in Section 8(b)(i) above.</w:t>
      </w:r>
    </w:p>
    <w:p>
      <w:pPr>
        <w:pStyle w:val="Normal"/>
        <w:tabs>
          <w:tab w:val="clear" w:pos="720"/>
          <w:tab w:val="left" w:pos="1440" w:leader="none"/>
        </w:tabs>
        <w:ind w:start="1440" w:end="0"/>
        <w:rPr>
          <w:sz w:val="24"/>
        </w:rPr>
      </w:pPr>
      <w:r>
        <w:rPr>
          <w:sz w:val="24"/>
        </w:rPr>
      </w:r>
    </w:p>
    <w:p>
      <w:pPr>
        <w:pStyle w:val="Normal"/>
        <w:numPr>
          <w:ilvl w:val="0"/>
          <w:numId w:val="2"/>
        </w:numPr>
        <w:rPr>
          <w:sz w:val="24"/>
        </w:rPr>
      </w:pPr>
      <w:r>
        <w:rPr>
          <w:sz w:val="24"/>
          <w:u w:val="single"/>
        </w:rPr>
        <w:t>Application Review Phase</w:t>
      </w:r>
      <w:r>
        <w:rPr>
          <w:sz w:val="24"/>
        </w:rPr>
        <w:t xml:space="preserve">: If Transporter terminates the Agreement pursuant to Paragraph 6 after Transporter files its FERC Certificate application but before Shipper and Transporter have executed a FTSA (the “Application Review Phase”), Shipper shall not be responsible for any Development Costs.  </w:t>
        <w:br/>
      </w:r>
    </w:p>
    <w:p>
      <w:pPr>
        <w:pStyle w:val="Normal"/>
        <w:numPr>
          <w:ilvl w:val="0"/>
          <w:numId w:val="2"/>
        </w:numPr>
        <w:rPr>
          <w:b/>
        </w:rPr>
      </w:pPr>
      <w:r>
        <w:rPr>
          <w:sz w:val="24"/>
        </w:rPr>
        <w:t>Upon any termination by either Party that triggers a reimbursement obligation by Shipper pursuant to this Paragraph 8, Transporter shall render Shipper an invoice for Shipper’s Pro Rata Share of Development Costs within a reasonable period after such termination and Shipper shall pay such invoice within thirty (30) days.  No termination of this Agreement by Shipper that triggers a reimbursement obligation pursuant to this Paragraph 8 shall become effective until Transporter receives the payment required by this Paragraph 8.</w:t>
        <w:br/>
      </w:r>
    </w:p>
    <w:p>
      <w:pPr>
        <w:pStyle w:val="Heading7"/>
        <w:keepNext w:val="false"/>
        <w:ind w:hanging="360" w:start="360" w:end="0"/>
        <w:rPr/>
      </w:pPr>
      <w:r>
        <w:rPr>
          <w:b w:val="false"/>
          <w:sz w:val="24"/>
          <w:u w:val="none"/>
        </w:rPr>
        <w:t>9.</w:t>
        <w:tab/>
      </w:r>
      <w:r>
        <w:rPr>
          <w:b w:val="false"/>
          <w:sz w:val="24"/>
          <w:u w:val="none"/>
        </w:rPr>
        <w:t>Credit</w:t>
      </w:r>
      <w:r>
        <w:rPr/>
        <w:t>. No later than October 29, 2001, Shipper shall submit credit support for its obligations under this Precedent Agreement.  Acceptable support will include:  (i) a demonstration that Shipper is creditworthy, defined as an entity with investment grade rating on unsecured senior debt of no less than BBB as determined by Standard &amp; Poors and tangible net worth of at least 10 times the amount of Shipper’s estimated demand charges for one (1) year of service on the Washington Lateral; (ii) a guarantee of Shipper’s obligations by a creditworthy entity (as defined in Section 9(i) above) in a form acceptable to Transporter; or (iii) a letter of credit or prepayment in an amount equal to Shipper’s estimated demand charges for one (1) year of service on the Washington Lateral, paid in percentage installments as set forth below:</w:t>
        <w:br/>
      </w:r>
    </w:p>
    <w:tbl>
      <w:tblPr>
        <w:tblW w:w="5904" w:type="dxa"/>
        <w:jc w:val="start"/>
        <w:tblInd w:w="1458" w:type="dxa"/>
        <w:tblLayout w:type="fixed"/>
        <w:tblCellMar>
          <w:top w:w="0" w:type="dxa"/>
          <w:start w:w="108" w:type="dxa"/>
          <w:bottom w:w="0" w:type="dxa"/>
          <w:end w:w="108" w:type="dxa"/>
        </w:tblCellMar>
      </w:tblPr>
      <w:tblGrid>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Heading7"/>
              <w:jc w:val="center"/>
              <w:rPr>
                <w:sz w:val="24"/>
                <w:u w:val="none"/>
              </w:rPr>
            </w:pPr>
            <w:r>
              <w:rPr>
                <w:sz w:val="24"/>
                <w:u w:val="none"/>
              </w:rPr>
              <w:t>Date</w:t>
            </w:r>
          </w:p>
        </w:tc>
        <w:tc>
          <w:tcPr>
            <w:tcW w:w="2952" w:type="dxa"/>
            <w:tcBorders>
              <w:top w:val="single" w:sz="4" w:space="0" w:color="000000"/>
              <w:start w:val="single" w:sz="4" w:space="0" w:color="000000"/>
              <w:bottom w:val="single" w:sz="4" w:space="0" w:color="000000"/>
              <w:end w:val="single" w:sz="4" w:space="0" w:color="000000"/>
            </w:tcBorders>
          </w:tcPr>
          <w:p>
            <w:pPr>
              <w:pStyle w:val="Heading7"/>
              <w:jc w:val="center"/>
              <w:rPr>
                <w:sz w:val="24"/>
                <w:u w:val="none"/>
              </w:rPr>
            </w:pPr>
            <w:r>
              <w:rPr>
                <w:sz w:val="24"/>
                <w:u w:val="none"/>
              </w:rPr>
              <w:t>Cumulative  Credit Requirement</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7"/>
              <w:snapToGrid w:val="false"/>
              <w:rPr>
                <w:b w:val="false"/>
                <w:sz w:val="24"/>
                <w:u w:val="none"/>
              </w:rPr>
            </w:pPr>
            <w:r>
              <w:rPr>
                <w:b w:val="false"/>
                <w:sz w:val="24"/>
                <w:u w:val="none"/>
              </w:rPr>
            </w:r>
          </w:p>
        </w:tc>
        <w:tc>
          <w:tcPr>
            <w:tcW w:w="2952" w:type="dxa"/>
            <w:tcBorders>
              <w:top w:val="single" w:sz="4" w:space="0" w:color="000000"/>
              <w:start w:val="single" w:sz="4" w:space="0" w:color="000000"/>
              <w:bottom w:val="single" w:sz="4" w:space="0" w:color="000000"/>
              <w:end w:val="single" w:sz="4" w:space="0" w:color="000000"/>
            </w:tcBorders>
          </w:tcPr>
          <w:p>
            <w:pPr>
              <w:pStyle w:val="Heading7"/>
              <w:snapToGrid w:val="false"/>
              <w:rPr>
                <w:b w:val="false"/>
                <w:sz w:val="24"/>
                <w:u w:val="none"/>
              </w:rPr>
            </w:pPr>
            <w:r>
              <w:rPr>
                <w:b w:val="false"/>
                <w:sz w:val="24"/>
                <w:u w:val="none"/>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7"/>
              <w:rPr>
                <w:b w:val="false"/>
                <w:sz w:val="24"/>
                <w:u w:val="none"/>
              </w:rPr>
            </w:pPr>
            <w:r>
              <w:rPr>
                <w:b w:val="false"/>
                <w:sz w:val="24"/>
                <w:u w:val="none"/>
              </w:rPr>
              <w:t>October 29, 2001</w:t>
            </w:r>
          </w:p>
        </w:tc>
        <w:tc>
          <w:tcPr>
            <w:tcW w:w="2952" w:type="dxa"/>
            <w:tcBorders>
              <w:top w:val="single" w:sz="4" w:space="0" w:color="000000"/>
              <w:start w:val="single" w:sz="4" w:space="0" w:color="000000"/>
              <w:bottom w:val="single" w:sz="4" w:space="0" w:color="000000"/>
              <w:end w:val="single" w:sz="4" w:space="0" w:color="000000"/>
            </w:tcBorders>
          </w:tcPr>
          <w:p>
            <w:pPr>
              <w:pStyle w:val="Heading7"/>
              <w:rPr>
                <w:b w:val="false"/>
                <w:sz w:val="24"/>
                <w:u w:val="none"/>
              </w:rPr>
            </w:pPr>
            <w:r>
              <w:rPr>
                <w:b w:val="false"/>
                <w:sz w:val="24"/>
                <w:u w:val="none"/>
              </w:rPr>
              <w:t>25 (Twenty-Five) Percent</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7"/>
              <w:rPr>
                <w:b w:val="false"/>
                <w:sz w:val="24"/>
                <w:u w:val="none"/>
              </w:rPr>
            </w:pPr>
            <w:r>
              <w:rPr>
                <w:b w:val="false"/>
                <w:sz w:val="24"/>
                <w:u w:val="none"/>
              </w:rPr>
              <w:t>October 1, 2002</w:t>
            </w:r>
          </w:p>
        </w:tc>
        <w:tc>
          <w:tcPr>
            <w:tcW w:w="2952" w:type="dxa"/>
            <w:tcBorders>
              <w:top w:val="single" w:sz="4" w:space="0" w:color="000000"/>
              <w:start w:val="single" w:sz="4" w:space="0" w:color="000000"/>
              <w:bottom w:val="single" w:sz="4" w:space="0" w:color="000000"/>
              <w:end w:val="single" w:sz="4" w:space="0" w:color="000000"/>
            </w:tcBorders>
          </w:tcPr>
          <w:p>
            <w:pPr>
              <w:pStyle w:val="Heading7"/>
              <w:rPr>
                <w:b w:val="false"/>
                <w:sz w:val="24"/>
                <w:u w:val="none"/>
              </w:rPr>
            </w:pPr>
            <w:r>
              <w:rPr>
                <w:b w:val="false"/>
                <w:sz w:val="24"/>
                <w:u w:val="none"/>
              </w:rPr>
              <w:t>50 (Fifty) Percent</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7"/>
              <w:rPr>
                <w:b w:val="false"/>
                <w:sz w:val="24"/>
                <w:u w:val="none"/>
              </w:rPr>
            </w:pPr>
            <w:r>
              <w:rPr>
                <w:b w:val="false"/>
                <w:sz w:val="24"/>
                <w:u w:val="none"/>
              </w:rPr>
              <w:t>30 days after FERC issues a Preliminary Determination approving Washington Lateral</w:t>
            </w:r>
          </w:p>
        </w:tc>
        <w:tc>
          <w:tcPr>
            <w:tcW w:w="2952" w:type="dxa"/>
            <w:tcBorders>
              <w:top w:val="single" w:sz="4" w:space="0" w:color="000000"/>
              <w:start w:val="single" w:sz="4" w:space="0" w:color="000000"/>
              <w:bottom w:val="single" w:sz="4" w:space="0" w:color="000000"/>
              <w:end w:val="single" w:sz="4" w:space="0" w:color="000000"/>
            </w:tcBorders>
          </w:tcPr>
          <w:p>
            <w:pPr>
              <w:pStyle w:val="Heading7"/>
              <w:snapToGrid w:val="false"/>
              <w:rPr>
                <w:b w:val="false"/>
                <w:sz w:val="24"/>
                <w:u w:val="none"/>
              </w:rPr>
            </w:pPr>
            <w:r>
              <w:rPr>
                <w:b w:val="false"/>
                <w:sz w:val="24"/>
                <w:u w:val="none"/>
              </w:rPr>
            </w:r>
          </w:p>
          <w:p>
            <w:pPr>
              <w:pStyle w:val="Heading7"/>
              <w:rPr>
                <w:b w:val="false"/>
                <w:sz w:val="24"/>
                <w:u w:val="none"/>
              </w:rPr>
            </w:pPr>
            <w:r>
              <w:rPr>
                <w:b w:val="false"/>
                <w:sz w:val="24"/>
                <w:u w:val="none"/>
              </w:rPr>
              <w:t>100 (One Hundred) Percent</w:t>
            </w:r>
          </w:p>
        </w:tc>
      </w:tr>
    </w:tbl>
    <w:p>
      <w:pPr>
        <w:pStyle w:val="Heading7"/>
        <w:ind w:hanging="360" w:start="720" w:end="0"/>
        <w:rPr>
          <w:b w:val="false"/>
          <w:sz w:val="24"/>
          <w:u w:val="none"/>
        </w:rPr>
      </w:pPr>
      <w:r>
        <w:rPr>
          <w:b w:val="false"/>
          <w:sz w:val="24"/>
          <w:u w:val="none"/>
        </w:rPr>
      </w:r>
    </w:p>
    <w:p>
      <w:pPr>
        <w:pStyle w:val="Heading7"/>
        <w:ind w:start="360" w:end="0"/>
        <w:rPr>
          <w:sz w:val="24"/>
          <w:u w:val="none"/>
        </w:rPr>
      </w:pPr>
      <w:r>
        <w:rPr>
          <w:b w:val="false"/>
          <w:sz w:val="24"/>
          <w:u w:val="none"/>
        </w:rPr>
        <w:t xml:space="preserve">Shipper shall be required to maintain credit support for the term of Shipper’s Precedent Agreement and subsequent FTSA for service on the Washington Lateral.   The Parties agree that Shipper’s failure to supply or maintain credit support shall in no way relieve Shipper of its other obligations under this Agreement nor Transporter’s rights to seek damages or performance under this Precedent Agreement. </w:t>
      </w:r>
    </w:p>
    <w:p>
      <w:pPr>
        <w:pStyle w:val="Normal"/>
        <w:rPr>
          <w:sz w:val="24"/>
        </w:rPr>
      </w:pPr>
      <w:r>
        <w:rPr>
          <w:sz w:val="24"/>
        </w:rPr>
        <w:tab/>
      </w:r>
    </w:p>
    <w:p>
      <w:pPr>
        <w:pStyle w:val="Heading7"/>
        <w:ind w:hanging="360" w:start="360" w:end="0"/>
        <w:rPr/>
      </w:pPr>
      <w:r>
        <w:rPr>
          <w:b w:val="false"/>
          <w:sz w:val="24"/>
          <w:u w:val="none"/>
        </w:rPr>
        <w:t xml:space="preserve">10. </w:t>
      </w:r>
      <w:r>
        <w:rPr>
          <w:b w:val="false"/>
          <w:sz w:val="24"/>
        </w:rPr>
        <w:t>Assignment</w:t>
      </w:r>
      <w:r>
        <w:rPr>
          <w:b w:val="false"/>
          <w:sz w:val="24"/>
          <w:u w:val="none"/>
        </w:rPr>
        <w:t>.  Any company which shall succeed by purchase, merger or consolidation to the properties, substantially as an entirety, of either Transporter or Shipper, as the case may be, shall be entitled to the rights and shall be subject to the obligations of its predecessor in title under this Precedent Agreement.  Either party may, without relieving itself of its obligations under this Precedent Agreement, assign any of its rights hereunder to a company with which it is affiliated (provided that in the case of such an assignment by Shipper, the assignee meets the creditworthiness requirements of this Precedent Agreement), but otherwise no assignment of this Precedent Agreement or any rights or obligations hereunder shall be made unless there first shall have been obtained the written consent of the other Party.  It is agreed, however, that the restrictions on assignment contained in this paragraph shall not in any way prevent either party to this Precedent Agreement from pledging or mortgaging its rights hereunder as security for its indebtedness, and Shipper hereby agrees, in connection with any collateral assignment made by Transporter for the financing of Transporter’s System, to (i) execute and deliver as soon as reasonably practicable a consent and agreement and opinion of counsel satisfactory to Transporter and in conformance with the terms of Transporter’s financing commitments; and (ii) to provide any other information reasonably required by financial institutions providing financing for Transporter’s System.</w:t>
      </w:r>
    </w:p>
    <w:p>
      <w:pPr>
        <w:pStyle w:val="Normal"/>
        <w:rPr>
          <w:b/>
          <w:sz w:val="24"/>
          <w:u w:val="none"/>
        </w:rPr>
      </w:pPr>
      <w:r>
        <w:rPr>
          <w:b/>
          <w:sz w:val="24"/>
          <w:u w:val="none"/>
        </w:rPr>
      </w:r>
    </w:p>
    <w:p>
      <w:pPr>
        <w:pStyle w:val="Heading7"/>
        <w:keepNext w:val="false"/>
        <w:rPr/>
      </w:pPr>
      <w:r>
        <w:rPr>
          <w:b w:val="false"/>
          <w:sz w:val="24"/>
          <w:u w:val="none"/>
        </w:rPr>
        <w:t xml:space="preserve">11. </w:t>
      </w:r>
      <w:r>
        <w:rPr>
          <w:b w:val="false"/>
          <w:sz w:val="24"/>
        </w:rPr>
        <w:t>Notices</w:t>
      </w:r>
      <w:r>
        <w:rPr>
          <w:b w:val="false"/>
          <w:sz w:val="24"/>
          <w:u w:val="none"/>
        </w:rPr>
        <w:t>.  Notices under this Precedent Agreement shall be sent to:</w:t>
        <w:br/>
      </w:r>
    </w:p>
    <w:p>
      <w:pPr>
        <w:pStyle w:val="Heading7"/>
        <w:keepNext w:val="false"/>
        <w:tabs>
          <w:tab w:val="clear" w:pos="720"/>
          <w:tab w:val="left" w:pos="2430" w:leader="none"/>
        </w:tabs>
        <w:ind w:firstLine="720" w:end="0"/>
        <w:rPr>
          <w:b w:val="false"/>
          <w:sz w:val="24"/>
          <w:u w:val="none"/>
        </w:rPr>
      </w:pPr>
      <w:r>
        <w:rPr>
          <w:b w:val="false"/>
          <w:sz w:val="24"/>
          <w:u w:val="none"/>
        </w:rPr>
        <w:t>Transporter:</w:t>
        <w:tab/>
        <w:t>PG&amp;E Gas Transmission, Northwest Corporation</w:t>
      </w:r>
    </w:p>
    <w:p>
      <w:pPr>
        <w:pStyle w:val="Heading7"/>
        <w:keepNext w:val="false"/>
        <w:tabs>
          <w:tab w:val="clear" w:pos="720"/>
          <w:tab w:val="left" w:pos="2430" w:leader="none"/>
        </w:tabs>
        <w:ind w:firstLine="720" w:start="1440" w:end="0"/>
        <w:rPr>
          <w:b w:val="false"/>
          <w:sz w:val="24"/>
          <w:u w:val="none"/>
        </w:rPr>
      </w:pPr>
      <w:r>
        <w:rPr>
          <w:b w:val="false"/>
          <w:sz w:val="24"/>
          <w:u w:val="none"/>
        </w:rPr>
        <w:tab/>
        <w:t>1400 SW Fifth Avenue, Suite 900</w:t>
      </w:r>
    </w:p>
    <w:p>
      <w:pPr>
        <w:pStyle w:val="Heading7"/>
        <w:keepNext w:val="false"/>
        <w:tabs>
          <w:tab w:val="clear" w:pos="720"/>
          <w:tab w:val="left" w:pos="2430" w:leader="none"/>
        </w:tabs>
        <w:ind w:firstLine="720" w:start="1440" w:end="0"/>
        <w:rPr>
          <w:b w:val="false"/>
          <w:sz w:val="24"/>
          <w:u w:val="none"/>
        </w:rPr>
      </w:pPr>
      <w:r>
        <w:rPr>
          <w:b w:val="false"/>
          <w:sz w:val="24"/>
          <w:u w:val="none"/>
        </w:rPr>
        <w:tab/>
        <w:t xml:space="preserve">Portland, Oregon 97201 </w:t>
      </w:r>
    </w:p>
    <w:p>
      <w:pPr>
        <w:pStyle w:val="Heading7"/>
        <w:keepNext w:val="false"/>
        <w:tabs>
          <w:tab w:val="clear" w:pos="720"/>
          <w:tab w:val="left" w:pos="2430" w:leader="none"/>
        </w:tabs>
        <w:ind w:firstLine="360" w:start="1800" w:end="0"/>
        <w:rPr>
          <w:b w:val="false"/>
          <w:sz w:val="24"/>
          <w:u w:val="none"/>
        </w:rPr>
      </w:pPr>
      <w:r>
        <w:rPr>
          <w:b w:val="false"/>
          <w:sz w:val="24"/>
          <w:u w:val="none"/>
        </w:rPr>
        <w:tab/>
        <w:t>Attention:  Director, Pipeline Marketing &amp; Development</w:t>
      </w:r>
    </w:p>
    <w:p>
      <w:pPr>
        <w:pStyle w:val="Heading7"/>
        <w:keepNext w:val="false"/>
        <w:tabs>
          <w:tab w:val="clear" w:pos="720"/>
          <w:tab w:val="left" w:pos="2430" w:leader="none"/>
        </w:tabs>
        <w:ind w:firstLine="720" w:start="1440" w:end="0"/>
        <w:rPr>
          <w:b w:val="false"/>
          <w:sz w:val="24"/>
          <w:u w:val="none"/>
        </w:rPr>
      </w:pPr>
      <w:r>
        <w:rPr>
          <w:b w:val="false"/>
          <w:sz w:val="24"/>
          <w:u w:val="none"/>
        </w:rPr>
        <w:tab/>
        <w:t>Fax No.:  (503) 833-4925</w:t>
      </w:r>
    </w:p>
    <w:p>
      <w:pPr>
        <w:pStyle w:val="Heading7"/>
        <w:keepNext w:val="false"/>
        <w:tabs>
          <w:tab w:val="clear" w:pos="720"/>
          <w:tab w:val="left" w:pos="2430" w:leader="none"/>
        </w:tabs>
        <w:ind w:hanging="360" w:start="360" w:end="0"/>
        <w:rPr>
          <w:b w:val="false"/>
          <w:sz w:val="24"/>
          <w:u w:val="none"/>
        </w:rPr>
      </w:pPr>
      <w:r>
        <w:rPr>
          <w:b w:val="false"/>
          <w:sz w:val="24"/>
          <w:u w:val="none"/>
        </w:rPr>
      </w:r>
    </w:p>
    <w:p>
      <w:pPr>
        <w:pStyle w:val="Heading7"/>
        <w:keepLines/>
        <w:tabs>
          <w:tab w:val="clear" w:pos="720"/>
          <w:tab w:val="left" w:pos="2430" w:leader="none"/>
        </w:tabs>
        <w:ind w:firstLine="720" w:end="0"/>
        <w:rPr>
          <w:b w:val="false"/>
          <w:sz w:val="24"/>
          <w:u w:val="none"/>
        </w:rPr>
      </w:pPr>
      <w:r>
        <w:rPr>
          <w:b w:val="false"/>
          <w:sz w:val="24"/>
          <w:u w:val="none"/>
        </w:rPr>
        <w:t xml:space="preserve">And a copy to:  </w:t>
        <w:tab/>
        <w:t>PG&amp;E Gas Transmission, Northwest Corporation</w:t>
      </w:r>
    </w:p>
    <w:p>
      <w:pPr>
        <w:pStyle w:val="Heading7"/>
        <w:keepLines/>
        <w:tabs>
          <w:tab w:val="clear" w:pos="720"/>
          <w:tab w:val="left" w:pos="2430" w:leader="none"/>
        </w:tabs>
        <w:ind w:start="1800" w:end="0"/>
        <w:rPr>
          <w:b w:val="false"/>
          <w:sz w:val="24"/>
          <w:u w:val="none"/>
        </w:rPr>
      </w:pPr>
      <w:r>
        <w:rPr>
          <w:b w:val="false"/>
          <w:sz w:val="24"/>
          <w:u w:val="none"/>
        </w:rPr>
        <w:tab/>
        <w:t>1400 SW Fifth Avenue, Suite 900</w:t>
      </w:r>
    </w:p>
    <w:p>
      <w:pPr>
        <w:pStyle w:val="Heading7"/>
        <w:keepLines/>
        <w:tabs>
          <w:tab w:val="clear" w:pos="720"/>
          <w:tab w:val="left" w:pos="2430" w:leader="none"/>
        </w:tabs>
        <w:ind w:firstLine="1080" w:start="1080" w:end="0"/>
        <w:rPr>
          <w:b w:val="false"/>
          <w:sz w:val="24"/>
          <w:u w:val="none"/>
        </w:rPr>
      </w:pPr>
      <w:r>
        <w:rPr>
          <w:b w:val="false"/>
          <w:sz w:val="24"/>
          <w:u w:val="none"/>
        </w:rPr>
        <w:tab/>
        <w:t xml:space="preserve">Portland, Oregon 97201 </w:t>
      </w:r>
    </w:p>
    <w:p>
      <w:pPr>
        <w:pStyle w:val="Heading7"/>
        <w:keepLines/>
        <w:tabs>
          <w:tab w:val="clear" w:pos="720"/>
          <w:tab w:val="left" w:pos="2430" w:leader="none"/>
        </w:tabs>
        <w:ind w:firstLine="360" w:start="1080" w:end="0"/>
        <w:rPr>
          <w:b w:val="false"/>
          <w:sz w:val="24"/>
          <w:u w:val="none"/>
        </w:rPr>
      </w:pPr>
      <w:r>
        <w:rPr>
          <w:b w:val="false"/>
          <w:sz w:val="24"/>
          <w:u w:val="none"/>
        </w:rPr>
        <w:tab/>
        <w:t>Attention:  Legal Department</w:t>
      </w:r>
    </w:p>
    <w:p>
      <w:pPr>
        <w:pStyle w:val="Heading7"/>
        <w:keepLines/>
        <w:tabs>
          <w:tab w:val="clear" w:pos="720"/>
          <w:tab w:val="left" w:pos="2430" w:leader="none"/>
        </w:tabs>
        <w:ind w:start="1800" w:end="0"/>
        <w:rPr>
          <w:b w:val="false"/>
          <w:sz w:val="24"/>
          <w:u w:val="none"/>
        </w:rPr>
      </w:pPr>
      <w:r>
        <w:rPr>
          <w:b w:val="false"/>
          <w:sz w:val="24"/>
          <w:u w:val="none"/>
        </w:rPr>
        <w:tab/>
        <w:t>Fax No.:  (503) 402-4004</w:t>
      </w:r>
    </w:p>
    <w:p>
      <w:pPr>
        <w:pStyle w:val="Heading7"/>
        <w:tabs>
          <w:tab w:val="clear" w:pos="720"/>
          <w:tab w:val="left" w:pos="2430" w:leader="none"/>
        </w:tabs>
        <w:ind w:start="1800" w:end="0"/>
        <w:rPr>
          <w:b w:val="false"/>
          <w:sz w:val="24"/>
          <w:u w:val="none"/>
        </w:rPr>
      </w:pPr>
      <w:r>
        <w:rPr>
          <w:b w:val="false"/>
          <w:sz w:val="24"/>
          <w:u w:val="none"/>
        </w:rPr>
      </w:r>
    </w:p>
    <w:p>
      <w:pPr>
        <w:pStyle w:val="Heading7"/>
        <w:keepNext w:val="false"/>
        <w:keepLines/>
        <w:tabs>
          <w:tab w:val="clear" w:pos="720"/>
          <w:tab w:val="left" w:pos="2430" w:leader="none"/>
        </w:tabs>
        <w:ind w:firstLine="360" w:start="360" w:end="0"/>
        <w:rPr>
          <w:b w:val="false"/>
          <w:sz w:val="24"/>
          <w:u w:val="none"/>
        </w:rPr>
      </w:pPr>
      <w:r>
        <w:rPr>
          <w:b w:val="false"/>
          <w:sz w:val="24"/>
          <w:u w:val="none"/>
        </w:rPr>
        <w:t>Shipper:</w:t>
        <w:tab/>
        <w:t>Name of Shipper  __________________________________</w:t>
      </w:r>
    </w:p>
    <w:p>
      <w:pPr>
        <w:pStyle w:val="Heading7"/>
        <w:keepNext w:val="false"/>
        <w:keepLines/>
        <w:tabs>
          <w:tab w:val="clear" w:pos="720"/>
          <w:tab w:val="left" w:pos="2430" w:leader="none"/>
          <w:tab w:val="left" w:pos="3240" w:leader="none"/>
        </w:tabs>
        <w:ind w:firstLine="720" w:start="1440" w:end="0"/>
        <w:rPr>
          <w:b w:val="false"/>
          <w:sz w:val="24"/>
          <w:u w:val="none"/>
        </w:rPr>
      </w:pPr>
      <w:r>
        <w:rPr>
          <w:b w:val="false"/>
          <w:sz w:val="24"/>
          <w:u w:val="none"/>
        </w:rPr>
        <w:tab/>
        <w:t>Address  _________________________________________</w:t>
      </w:r>
    </w:p>
    <w:p>
      <w:pPr>
        <w:pStyle w:val="Normal"/>
        <w:keepLines/>
        <w:tabs>
          <w:tab w:val="clear" w:pos="720"/>
          <w:tab w:val="left" w:pos="2430" w:leader="none"/>
          <w:tab w:val="left" w:pos="3240" w:leader="none"/>
        </w:tabs>
        <w:rPr>
          <w:sz w:val="24"/>
        </w:rPr>
      </w:pPr>
      <w:r>
        <w:rPr>
          <w:sz w:val="24"/>
        </w:rPr>
        <w:tab/>
        <w:tab/>
        <w:t xml:space="preserve"> _________________________________________</w:t>
      </w:r>
    </w:p>
    <w:p>
      <w:pPr>
        <w:pStyle w:val="Heading7"/>
        <w:keepNext w:val="false"/>
        <w:keepLines/>
        <w:tabs>
          <w:tab w:val="clear" w:pos="720"/>
          <w:tab w:val="left" w:pos="2430" w:leader="none"/>
        </w:tabs>
        <w:ind w:firstLine="360" w:start="1800" w:end="0"/>
        <w:rPr>
          <w:b w:val="false"/>
          <w:sz w:val="24"/>
          <w:u w:val="none"/>
        </w:rPr>
      </w:pPr>
      <w:r>
        <w:rPr>
          <w:b w:val="false"/>
          <w:sz w:val="24"/>
          <w:u w:val="none"/>
        </w:rPr>
        <w:tab/>
        <w:t>Contact Person ____________________________________</w:t>
      </w:r>
    </w:p>
    <w:p>
      <w:pPr>
        <w:pStyle w:val="Heading7"/>
        <w:keepNext w:val="false"/>
        <w:keepLines/>
        <w:tabs>
          <w:tab w:val="clear" w:pos="720"/>
          <w:tab w:val="left" w:pos="2430" w:leader="none"/>
        </w:tabs>
        <w:ind w:firstLine="360" w:start="1800" w:end="0"/>
        <w:rPr>
          <w:sz w:val="24"/>
          <w:u w:val="none"/>
        </w:rPr>
      </w:pPr>
      <w:r>
        <w:rPr>
          <w:b w:val="false"/>
          <w:sz w:val="24"/>
          <w:u w:val="none"/>
        </w:rPr>
        <w:tab/>
        <w:t>Fax No.__________________________________________</w:t>
      </w:r>
    </w:p>
    <w:p>
      <w:pPr>
        <w:pStyle w:val="Heading7"/>
        <w:keepNext w:val="false"/>
        <w:tabs>
          <w:tab w:val="clear" w:pos="720"/>
          <w:tab w:val="left" w:pos="2430" w:leader="none"/>
        </w:tabs>
        <w:ind w:start="360" w:end="0"/>
        <w:rPr>
          <w:sz w:val="24"/>
          <w:u w:val="none"/>
        </w:rPr>
      </w:pPr>
      <w:r>
        <w:rPr>
          <w:sz w:val="24"/>
          <w:u w:val="none"/>
        </w:rPr>
      </w:r>
    </w:p>
    <w:p>
      <w:pPr>
        <w:pStyle w:val="BodyText"/>
        <w:ind w:start="720" w:end="0"/>
        <w:rPr>
          <w:sz w:val="24"/>
        </w:rPr>
      </w:pPr>
      <w:r>
        <w:rPr>
          <w:sz w:val="24"/>
        </w:rPr>
        <w:t>Either Party may change its address by written notice to that effect to the other Party.  Notices given hereunder shall be deemed to have been effectively given upon the third day following the day when the notice properly addressed and postpaid had been placed in the mail.  It is expressly understood and agreed, however, that any notices referred to hereunder shall first be delivered by facsimile or other similar means, in accordance with the dates and time provided therein, and shall be mailed as soon as practicable thereafter.</w:t>
      </w:r>
    </w:p>
    <w:p>
      <w:pPr>
        <w:pStyle w:val="Normal"/>
        <w:rPr>
          <w:sz w:val="24"/>
        </w:rPr>
      </w:pPr>
      <w:r>
        <w:rPr>
          <w:sz w:val="24"/>
        </w:rPr>
      </w:r>
    </w:p>
    <w:p>
      <w:pPr>
        <w:pStyle w:val="Heading7"/>
        <w:rPr/>
      </w:pPr>
      <w:r>
        <w:rPr>
          <w:b w:val="false"/>
          <w:sz w:val="24"/>
          <w:u w:val="none"/>
        </w:rPr>
        <w:t>12.</w:t>
        <w:tab/>
      </w:r>
      <w:r>
        <w:rPr>
          <w:b w:val="false"/>
          <w:sz w:val="24"/>
        </w:rPr>
        <w:t>Miscellaneous</w:t>
      </w:r>
      <w:r>
        <w:rPr>
          <w:b w:val="false"/>
          <w:sz w:val="24"/>
          <w:u w:val="none"/>
        </w:rPr>
        <w:t xml:space="preserve">.  </w:t>
      </w:r>
    </w:p>
    <w:p>
      <w:pPr>
        <w:pStyle w:val="Heading7"/>
        <w:rPr>
          <w:b w:val="false"/>
          <w:sz w:val="24"/>
          <w:u w:val="none"/>
        </w:rPr>
      </w:pPr>
      <w:r>
        <w:rPr>
          <w:b w:val="false"/>
          <w:sz w:val="24"/>
          <w:u w:val="none"/>
        </w:rPr>
      </w:r>
    </w:p>
    <w:p>
      <w:pPr>
        <w:pStyle w:val="Heading7"/>
        <w:numPr>
          <w:ilvl w:val="0"/>
          <w:numId w:val="5"/>
        </w:numPr>
        <w:rPr>
          <w:b w:val="false"/>
          <w:sz w:val="24"/>
          <w:u w:val="none"/>
        </w:rPr>
      </w:pPr>
      <w:r>
        <w:rPr>
          <w:b w:val="false"/>
          <w:sz w:val="24"/>
          <w:u w:val="none"/>
        </w:rPr>
        <w:t>This Precedent Agreement sets forth all understandings and agreements between the Parties respecting the subject matter hereof, and all prior agreements, understandings and representations, whether written or oral, respecting the subject matter hereof are merged into and superseded by this Precedent Agreement.  This Precedent Agreement may only be amended by an instrument in writing executed by both Parties.</w:t>
        <w:br/>
      </w:r>
    </w:p>
    <w:p>
      <w:pPr>
        <w:pStyle w:val="Heading8"/>
        <w:keepNext w:val="false"/>
        <w:numPr>
          <w:ilvl w:val="0"/>
          <w:numId w:val="5"/>
        </w:numPr>
        <w:rPr>
          <w:b w:val="false"/>
          <w:sz w:val="24"/>
          <w:u w:val="none"/>
        </w:rPr>
      </w:pPr>
      <w:r>
        <w:rPr>
          <w:b w:val="false"/>
          <w:sz w:val="24"/>
          <w:u w:val="none"/>
        </w:rPr>
        <w:t>This Precedent Agreement, and any actions, claims, demands or settlements hereunder shall be governed by and construed in accordance with the laws of the State of California, without reference to any conflicts of law principles which might require the application of the laws of any other jurisdiction.</w:t>
      </w:r>
    </w:p>
    <w:p>
      <w:pPr>
        <w:pStyle w:val="Normal"/>
        <w:ind w:start="360" w:end="0"/>
        <w:rPr>
          <w:b/>
          <w:sz w:val="24"/>
          <w:u w:val="none"/>
        </w:rPr>
      </w:pPr>
      <w:r>
        <w:rPr>
          <w:b/>
          <w:sz w:val="24"/>
          <w:u w:val="none"/>
        </w:rPr>
      </w:r>
    </w:p>
    <w:p>
      <w:pPr>
        <w:pStyle w:val="Heading8"/>
        <w:keepNext w:val="false"/>
        <w:numPr>
          <w:ilvl w:val="0"/>
          <w:numId w:val="5"/>
        </w:numPr>
        <w:rPr>
          <w:b w:val="false"/>
          <w:sz w:val="24"/>
          <w:u w:val="none"/>
        </w:rPr>
      </w:pPr>
      <w:r>
        <w:rPr>
          <w:b w:val="false"/>
          <w:sz w:val="24"/>
          <w:u w:val="none"/>
        </w:rPr>
        <w:t>This Precedent Agreement and the obligations of the Parties hereunder are subject to all applicable laws, regulations, rules, and orders of all governmental and regulatory bodies having jurisdiction.</w:t>
      </w:r>
    </w:p>
    <w:p>
      <w:pPr>
        <w:pStyle w:val="Normal"/>
        <w:ind w:start="360" w:end="0"/>
        <w:rPr>
          <w:b/>
          <w:sz w:val="24"/>
          <w:u w:val="none"/>
        </w:rPr>
      </w:pPr>
      <w:r>
        <w:rPr>
          <w:b/>
          <w:sz w:val="24"/>
          <w:u w:val="none"/>
        </w:rPr>
      </w:r>
    </w:p>
    <w:p>
      <w:pPr>
        <w:pStyle w:val="Heading8"/>
        <w:keepNext w:val="false"/>
        <w:numPr>
          <w:ilvl w:val="0"/>
          <w:numId w:val="5"/>
        </w:numPr>
        <w:rPr>
          <w:b w:val="false"/>
          <w:sz w:val="24"/>
          <w:u w:val="none"/>
        </w:rPr>
      </w:pPr>
      <w:r>
        <w:rPr>
          <w:b w:val="false"/>
          <w:sz w:val="24"/>
          <w:u w:val="none"/>
        </w:rPr>
        <w:t>Any provision of this Precedent Agreement that is prohibited or unenforceable under the laws of the State of California shall be ineffective to the extent of the prohibition or unenforceability without invalidating or rendering unenforceable the remaining provisions hereof.</w:t>
      </w:r>
    </w:p>
    <w:p>
      <w:pPr>
        <w:pStyle w:val="Normal"/>
        <w:ind w:start="360" w:end="0"/>
        <w:rPr>
          <w:b/>
          <w:sz w:val="24"/>
          <w:u w:val="none"/>
        </w:rPr>
      </w:pPr>
      <w:r>
        <w:rPr>
          <w:b/>
          <w:sz w:val="24"/>
          <w:u w:val="none"/>
        </w:rPr>
      </w:r>
    </w:p>
    <w:p>
      <w:pPr>
        <w:pStyle w:val="Heading8"/>
        <w:keepLines/>
        <w:numPr>
          <w:ilvl w:val="0"/>
          <w:numId w:val="5"/>
        </w:numPr>
        <w:ind w:hanging="446" w:start="1166" w:end="0"/>
        <w:rPr>
          <w:b w:val="false"/>
          <w:sz w:val="24"/>
          <w:u w:val="none"/>
        </w:rPr>
      </w:pPr>
      <w:r>
        <w:rPr>
          <w:b w:val="false"/>
          <w:sz w:val="24"/>
          <w:u w:val="none"/>
        </w:rPr>
        <w:t>A waiver by either party of any one or more defaults by the other hereunder shall not operate as a waiver of any future default or defaults, whether of a like or of a different character.</w:t>
        <w:br/>
      </w:r>
    </w:p>
    <w:p>
      <w:pPr>
        <w:pStyle w:val="Heading8"/>
        <w:keepNext w:val="false"/>
        <w:numPr>
          <w:ilvl w:val="0"/>
          <w:numId w:val="5"/>
        </w:numPr>
        <w:ind w:hanging="446" w:start="1166" w:end="0"/>
        <w:rPr>
          <w:b w:val="false"/>
          <w:sz w:val="24"/>
          <w:u w:val="none"/>
        </w:rPr>
      </w:pPr>
      <w:r>
        <w:rPr>
          <w:b w:val="false"/>
          <w:sz w:val="24"/>
          <w:u w:val="none"/>
        </w:rPr>
        <w:t>Shipper agrees to execute and deliver all such other and additional instruments and documents and to do such other acts as may be reasonably necessary to effectuate the terms and provisions of this Precedent Agreement.</w:t>
      </w:r>
    </w:p>
    <w:p>
      <w:pPr>
        <w:pStyle w:val="Normal"/>
        <w:ind w:start="360" w:end="0"/>
        <w:rPr>
          <w:b/>
          <w:sz w:val="24"/>
          <w:u w:val="none"/>
        </w:rPr>
      </w:pPr>
      <w:r>
        <w:rPr>
          <w:b/>
          <w:sz w:val="24"/>
          <w:u w:val="none"/>
        </w:rPr>
      </w:r>
    </w:p>
    <w:p>
      <w:pPr>
        <w:pStyle w:val="Heading8"/>
        <w:keepNext w:val="false"/>
        <w:numPr>
          <w:ilvl w:val="0"/>
          <w:numId w:val="5"/>
        </w:numPr>
        <w:rPr>
          <w:b w:val="false"/>
          <w:sz w:val="24"/>
          <w:u w:val="none"/>
        </w:rPr>
      </w:pPr>
      <w:r>
        <w:rPr>
          <w:b w:val="false"/>
          <w:sz w:val="24"/>
          <w:u w:val="none"/>
        </w:rPr>
        <w:t>For the purposes of contractual interpretation, the terms, conditions and provisions of this Precedent Agreement shall not be construed against either Party as a result of the preparation or drafting thereof.</w:t>
        <w:br/>
      </w:r>
    </w:p>
    <w:p>
      <w:pPr>
        <w:pStyle w:val="Heading8"/>
        <w:keepNext w:val="false"/>
        <w:numPr>
          <w:ilvl w:val="0"/>
          <w:numId w:val="5"/>
        </w:numPr>
        <w:rPr>
          <w:b w:val="false"/>
          <w:sz w:val="24"/>
          <w:u w:val="none"/>
        </w:rPr>
      </w:pPr>
      <w:r>
        <w:rPr>
          <w:b w:val="false"/>
          <w:sz w:val="24"/>
          <w:u w:val="none"/>
        </w:rPr>
        <w:t>Transporter may file this Precedent Agreement with the FERC.</w:t>
      </w:r>
    </w:p>
    <w:p>
      <w:pPr>
        <w:pStyle w:val="Normal"/>
        <w:ind w:start="360" w:end="0"/>
        <w:rPr>
          <w:b/>
          <w:sz w:val="24"/>
          <w:u w:val="none"/>
        </w:rPr>
      </w:pPr>
      <w:r>
        <w:rPr>
          <w:b/>
          <w:sz w:val="24"/>
          <w:u w:val="none"/>
        </w:rPr>
      </w:r>
    </w:p>
    <w:p>
      <w:pPr>
        <w:pStyle w:val="Heading8"/>
        <w:ind w:hanging="0" w:start="0" w:end="0"/>
        <w:rPr>
          <w:b w:val="false"/>
          <w:sz w:val="24"/>
          <w:u w:val="none"/>
        </w:rPr>
      </w:pPr>
      <w:r>
        <w:rPr>
          <w:b w:val="false"/>
          <w:sz w:val="24"/>
          <w:u w:val="none"/>
        </w:rPr>
        <w:t>IN WITNESS WHEREOF, the Parties hereto have caused this Precedent Agreement to be duly executed in counterparts by their proper officers duly authorized as of the first date hereinabove written.</w:t>
      </w:r>
    </w:p>
    <w:p>
      <w:pPr>
        <w:pStyle w:val="Heading8"/>
        <w:ind w:firstLine="720" w:start="0" w:end="0"/>
        <w:rPr>
          <w:b w:val="false"/>
          <w:sz w:val="24"/>
          <w:u w:val="none"/>
        </w:rPr>
      </w:pPr>
      <w:r>
        <w:rPr>
          <w:b w:val="false"/>
          <w:sz w:val="24"/>
          <w:u w:val="none"/>
        </w:rPr>
      </w:r>
    </w:p>
    <w:tbl>
      <w:tblPr>
        <w:tblW w:w="9576" w:type="dxa"/>
        <w:jc w:val="start"/>
        <w:tblInd w:w="0" w:type="dxa"/>
        <w:tblLayout w:type="fixed"/>
        <w:tblCellMar>
          <w:top w:w="0" w:type="dxa"/>
          <w:start w:w="108" w:type="dxa"/>
          <w:bottom w:w="0" w:type="dxa"/>
          <w:end w:w="108" w:type="dxa"/>
        </w:tblCellMar>
      </w:tblPr>
      <w:tblGrid>
        <w:gridCol w:w="5004"/>
        <w:gridCol w:w="4572"/>
      </w:tblGrid>
      <w:tr>
        <w:trPr/>
        <w:tc>
          <w:tcPr>
            <w:tcW w:w="5004" w:type="dxa"/>
            <w:tcBorders/>
          </w:tcPr>
          <w:p>
            <w:pPr>
              <w:pStyle w:val="BodyTextStyle"/>
              <w:keepNext w:val="true"/>
              <w:spacing w:lineRule="auto" w:line="240"/>
              <w:ind w:hanging="0" w:end="0"/>
              <w:rPr>
                <w:rFonts w:ascii="Times New Roman" w:hAnsi="Times New Roman" w:cs="Times New Roman"/>
              </w:rPr>
            </w:pPr>
            <w:r>
              <w:rPr>
                <w:rFonts w:cs="Times New Roman" w:ascii="Times New Roman" w:hAnsi="Times New Roman"/>
              </w:rPr>
              <w:t>PG&amp;E Gas Transmission, Northwest Corporation</w:t>
            </w:r>
          </w:p>
          <w:p>
            <w:pPr>
              <w:pStyle w:val="BodyTextStyle"/>
              <w:keepNext w:val="true"/>
              <w:spacing w:lineRule="auto" w:line="240"/>
              <w:ind w:hanging="0" w:end="0"/>
              <w:rPr>
                <w:rFonts w:ascii="Times New Roman" w:hAnsi="Times New Roman" w:cs="Times New Roman"/>
              </w:rPr>
            </w:pPr>
            <w:r>
              <w:rPr>
                <w:rFonts w:cs="Times New Roman" w:ascii="Times New Roman" w:hAnsi="Times New Roman"/>
              </w:rPr>
            </w:r>
          </w:p>
          <w:p>
            <w:pPr>
              <w:pStyle w:val="BodyTextStyle"/>
              <w:keepNext w:val="true"/>
              <w:spacing w:lineRule="auto" w:line="240"/>
              <w:ind w:hanging="0" w:end="0"/>
              <w:rPr>
                <w:rFonts w:ascii="Times New Roman" w:hAnsi="Times New Roman" w:cs="Times New Roman"/>
              </w:rPr>
            </w:pPr>
            <w:r>
              <w:rPr>
                <w:rFonts w:cs="Times New Roman" w:ascii="Times New Roman" w:hAnsi="Times New Roman"/>
              </w:rPr>
            </w:r>
          </w:p>
          <w:p>
            <w:pPr>
              <w:pStyle w:val="BodyTextStyle"/>
              <w:keepNext w:val="true"/>
              <w:spacing w:lineRule="auto" w:line="240"/>
              <w:ind w:hanging="0" w:end="0"/>
              <w:rPr>
                <w:rFonts w:ascii="Times New Roman" w:hAnsi="Times New Roman" w:cs="Times New Roman"/>
              </w:rPr>
            </w:pPr>
            <w:r>
              <w:rPr>
                <w:rFonts w:cs="Times New Roman" w:ascii="Times New Roman" w:hAnsi="Times New Roman"/>
              </w:rPr>
              <w:t>By: __________________________________</w:t>
            </w:r>
          </w:p>
          <w:p>
            <w:pPr>
              <w:pStyle w:val="BodyTextStyle"/>
              <w:keepNext w:val="true"/>
              <w:spacing w:lineRule="auto" w:line="240"/>
              <w:ind w:hanging="0" w:end="0"/>
              <w:rPr>
                <w:rFonts w:ascii="Times New Roman" w:hAnsi="Times New Roman" w:cs="Times New Roman"/>
              </w:rPr>
            </w:pPr>
            <w:r>
              <w:rPr>
                <w:rFonts w:cs="Times New Roman" w:ascii="Times New Roman" w:hAnsi="Times New Roman"/>
              </w:rPr>
            </w:r>
          </w:p>
          <w:p>
            <w:pPr>
              <w:pStyle w:val="BodyTextStyle"/>
              <w:keepNext w:val="true"/>
              <w:spacing w:lineRule="auto" w:line="240"/>
              <w:ind w:hanging="0" w:end="0"/>
              <w:rPr>
                <w:rFonts w:ascii="Times New Roman" w:hAnsi="Times New Roman" w:cs="Times New Roman"/>
              </w:rPr>
            </w:pPr>
            <w:r>
              <w:rPr>
                <w:rFonts w:cs="Times New Roman" w:ascii="Times New Roman" w:hAnsi="Times New Roman"/>
              </w:rPr>
              <w:t>Print Name: ___________________________</w:t>
            </w:r>
          </w:p>
          <w:p>
            <w:pPr>
              <w:pStyle w:val="BodyTextStyle"/>
              <w:keepNext w:val="true"/>
              <w:spacing w:lineRule="auto" w:line="240"/>
              <w:ind w:hanging="0" w:end="0"/>
              <w:rPr>
                <w:rFonts w:ascii="Times New Roman" w:hAnsi="Times New Roman" w:cs="Times New Roman"/>
              </w:rPr>
            </w:pPr>
            <w:r>
              <w:rPr>
                <w:rFonts w:cs="Times New Roman" w:ascii="Times New Roman" w:hAnsi="Times New Roman"/>
              </w:rPr>
            </w:r>
          </w:p>
          <w:p>
            <w:pPr>
              <w:pStyle w:val="BodyTextStyle"/>
              <w:keepNext w:val="true"/>
              <w:spacing w:lineRule="auto" w:line="240"/>
              <w:ind w:hanging="0" w:end="0"/>
              <w:rPr>
                <w:rFonts w:ascii="Times New Roman" w:hAnsi="Times New Roman" w:cs="Times New Roman"/>
              </w:rPr>
            </w:pPr>
            <w:r>
              <w:rPr>
                <w:rFonts w:cs="Times New Roman" w:ascii="Times New Roman" w:hAnsi="Times New Roman"/>
              </w:rPr>
              <w:t>Title: ________________________________</w:t>
            </w:r>
          </w:p>
        </w:tc>
        <w:tc>
          <w:tcPr>
            <w:tcW w:w="4572" w:type="dxa"/>
            <w:tcBorders/>
          </w:tcPr>
          <w:p>
            <w:pPr>
              <w:pStyle w:val="BodyTextStyle"/>
              <w:keepNext w:val="true"/>
              <w:spacing w:lineRule="auto" w:line="240"/>
              <w:ind w:hanging="0" w:end="0"/>
              <w:rPr>
                <w:rFonts w:ascii="Times New Roman" w:hAnsi="Times New Roman" w:cs="Times New Roman"/>
              </w:rPr>
            </w:pPr>
            <w:r>
              <w:rPr>
                <w:rFonts w:cs="Times New Roman" w:ascii="Times New Roman" w:hAnsi="Times New Roman"/>
              </w:rPr>
              <w:t>[Shipper]</w:t>
            </w:r>
          </w:p>
          <w:p>
            <w:pPr>
              <w:pStyle w:val="BodyTextStyle"/>
              <w:keepNext w:val="true"/>
              <w:spacing w:lineRule="auto" w:line="240"/>
              <w:ind w:hanging="0" w:end="0"/>
              <w:rPr>
                <w:rFonts w:ascii="Times New Roman" w:hAnsi="Times New Roman" w:cs="Times New Roman"/>
              </w:rPr>
            </w:pPr>
            <w:r>
              <w:rPr>
                <w:rFonts w:cs="Times New Roman" w:ascii="Times New Roman" w:hAnsi="Times New Roman"/>
              </w:rPr>
            </w:r>
          </w:p>
          <w:p>
            <w:pPr>
              <w:pStyle w:val="BodyTextStyle"/>
              <w:keepNext w:val="true"/>
              <w:spacing w:lineRule="auto" w:line="240"/>
              <w:ind w:hanging="0" w:end="0"/>
              <w:rPr>
                <w:rFonts w:ascii="Times New Roman" w:hAnsi="Times New Roman" w:cs="Times New Roman"/>
              </w:rPr>
            </w:pPr>
            <w:r>
              <w:rPr>
                <w:rFonts w:cs="Times New Roman" w:ascii="Times New Roman" w:hAnsi="Times New Roman"/>
              </w:rPr>
            </w:r>
          </w:p>
          <w:p>
            <w:pPr>
              <w:pStyle w:val="BodyTextStyle"/>
              <w:keepNext w:val="true"/>
              <w:spacing w:lineRule="auto" w:line="240"/>
              <w:ind w:hanging="0" w:end="0"/>
              <w:rPr>
                <w:rFonts w:ascii="Times New Roman" w:hAnsi="Times New Roman" w:cs="Times New Roman"/>
              </w:rPr>
            </w:pPr>
            <w:r>
              <w:rPr>
                <w:rFonts w:cs="Times New Roman" w:ascii="Times New Roman" w:hAnsi="Times New Roman"/>
              </w:rPr>
              <w:t>By: ________________________________</w:t>
            </w:r>
          </w:p>
          <w:p>
            <w:pPr>
              <w:pStyle w:val="BodyTextStyle"/>
              <w:keepNext w:val="true"/>
              <w:spacing w:lineRule="auto" w:line="240"/>
              <w:ind w:hanging="0" w:end="0"/>
              <w:rPr>
                <w:rFonts w:ascii="Times New Roman" w:hAnsi="Times New Roman" w:cs="Times New Roman"/>
              </w:rPr>
            </w:pPr>
            <w:r>
              <w:rPr>
                <w:rFonts w:cs="Times New Roman" w:ascii="Times New Roman" w:hAnsi="Times New Roman"/>
              </w:rPr>
            </w:r>
          </w:p>
          <w:p>
            <w:pPr>
              <w:pStyle w:val="BodyTextStyle"/>
              <w:keepNext w:val="true"/>
              <w:spacing w:lineRule="auto" w:line="240"/>
              <w:ind w:hanging="0" w:end="0"/>
              <w:rPr>
                <w:rFonts w:ascii="Times New Roman" w:hAnsi="Times New Roman" w:cs="Times New Roman"/>
              </w:rPr>
            </w:pPr>
            <w:r>
              <w:rPr>
                <w:rFonts w:cs="Times New Roman" w:ascii="Times New Roman" w:hAnsi="Times New Roman"/>
              </w:rPr>
              <w:t>Print Name: _________________________</w:t>
            </w:r>
          </w:p>
          <w:p>
            <w:pPr>
              <w:pStyle w:val="BodyTextStyle"/>
              <w:keepNext w:val="true"/>
              <w:spacing w:lineRule="auto" w:line="240"/>
              <w:ind w:hanging="0" w:end="0"/>
              <w:rPr>
                <w:rFonts w:ascii="Times New Roman" w:hAnsi="Times New Roman" w:cs="Times New Roman"/>
              </w:rPr>
            </w:pPr>
            <w:r>
              <w:rPr>
                <w:rFonts w:cs="Times New Roman" w:ascii="Times New Roman" w:hAnsi="Times New Roman"/>
              </w:rPr>
            </w:r>
          </w:p>
          <w:p>
            <w:pPr>
              <w:pStyle w:val="BodyTextStyle"/>
              <w:keepNext w:val="true"/>
              <w:spacing w:lineRule="auto" w:line="240"/>
              <w:ind w:hanging="0" w:end="0"/>
              <w:rPr>
                <w:rFonts w:ascii="Times New Roman" w:hAnsi="Times New Roman" w:cs="Times New Roman"/>
              </w:rPr>
            </w:pPr>
            <w:r>
              <w:rPr>
                <w:rFonts w:cs="Times New Roman" w:ascii="Times New Roman" w:hAnsi="Times New Roman"/>
              </w:rPr>
              <w:t>Title: ______________________________</w:t>
            </w:r>
          </w:p>
          <w:p>
            <w:pPr>
              <w:pStyle w:val="BodyTextStyle"/>
              <w:keepNext w:val="true"/>
              <w:spacing w:lineRule="auto" w:line="240"/>
              <w:ind w:hanging="0" w:end="0"/>
              <w:rPr>
                <w:rFonts w:ascii="Times New Roman" w:hAnsi="Times New Roman" w:cs="Times New Roman"/>
              </w:rPr>
            </w:pPr>
            <w:r>
              <w:rPr>
                <w:rFonts w:cs="Times New Roman" w:ascii="Times New Roman" w:hAnsi="Times New Roman"/>
              </w:rPr>
            </w:r>
          </w:p>
          <w:p>
            <w:pPr>
              <w:pStyle w:val="BodyTextStyle"/>
              <w:keepNext w:val="true"/>
              <w:spacing w:lineRule="auto" w:line="240"/>
              <w:ind w:hanging="0" w:end="0"/>
              <w:rPr>
                <w:rFonts w:ascii="Times New Roman" w:hAnsi="Times New Roman" w:cs="Times New Roman"/>
              </w:rPr>
            </w:pPr>
            <w:r>
              <w:rPr>
                <w:rFonts w:cs="Times New Roman" w:ascii="Times New Roman" w:hAnsi="Times New Roman"/>
              </w:rPr>
            </w:r>
          </w:p>
        </w:tc>
      </w:tr>
    </w:tbl>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rPr>
          <w:sz w:val="24"/>
        </w:rPr>
      </w:pPr>
      <w:r>
        <w:rPr>
          <w:sz w:val="24"/>
        </w:rPr>
      </w:r>
    </w:p>
    <w:p>
      <w:pPr>
        <w:pStyle w:val="Normal"/>
        <w:jc w:val="center"/>
        <w:rPr>
          <w:b/>
          <w:sz w:val="24"/>
          <w:u w:val="single"/>
        </w:rPr>
      </w:pPr>
      <w:r>
        <w:rPr>
          <w:b/>
          <w:sz w:val="24"/>
          <w:u w:val="single"/>
        </w:rPr>
        <w:t>EXHIBIT A</w:t>
      </w:r>
    </w:p>
    <w:p>
      <w:pPr>
        <w:pStyle w:val="Normal"/>
        <w:jc w:val="center"/>
        <w:rPr>
          <w:b/>
          <w:sz w:val="24"/>
          <w:u w:val="single"/>
        </w:rPr>
      </w:pPr>
      <w:r>
        <w:rPr>
          <w:b/>
          <w:sz w:val="24"/>
          <w:u w:val="single"/>
        </w:rPr>
      </w:r>
    </w:p>
    <w:p>
      <w:pPr>
        <w:pStyle w:val="Normal"/>
        <w:jc w:val="center"/>
        <w:rPr>
          <w:b/>
          <w:sz w:val="24"/>
          <w:u w:val="single"/>
        </w:rPr>
      </w:pPr>
      <w:r>
        <w:rPr>
          <w:b/>
          <w:sz w:val="24"/>
          <w:u w:val="single"/>
        </w:rPr>
        <w:t>Service Terms</w:t>
      </w:r>
    </w:p>
    <w:p>
      <w:pPr>
        <w:pStyle w:val="Normal"/>
        <w:jc w:val="center"/>
        <w:rPr>
          <w:b/>
          <w:sz w:val="24"/>
          <w:u w:val="single"/>
        </w:rPr>
      </w:pPr>
      <w:r>
        <w:rPr>
          <w:b/>
          <w:sz w:val="24"/>
          <w:u w:val="single"/>
        </w:rPr>
        <w:t>Washington Lateral</w:t>
      </w:r>
    </w:p>
    <w:p>
      <w:pPr>
        <w:pStyle w:val="Normal"/>
        <w:jc w:val="center"/>
        <w:rPr>
          <w:b/>
          <w:sz w:val="24"/>
          <w:u w:val="single"/>
        </w:rPr>
      </w:pPr>
      <w:r>
        <w:rPr>
          <w:b/>
          <w:sz w:val="24"/>
          <w:u w:val="single"/>
        </w:rPr>
      </w:r>
    </w:p>
    <w:p>
      <w:pPr>
        <w:pStyle w:val="Normal"/>
        <w:jc w:val="center"/>
        <w:rPr>
          <w:b/>
          <w:sz w:val="24"/>
          <w:u w:val="single"/>
        </w:rPr>
      </w:pPr>
      <w:r>
        <w:rPr>
          <w:b/>
          <w:sz w:val="24"/>
          <w:u w:val="single"/>
        </w:rPr>
      </w:r>
    </w:p>
    <w:p>
      <w:pPr>
        <w:pStyle w:val="Normal"/>
        <w:rPr>
          <w:b/>
          <w:sz w:val="24"/>
          <w:u w:val="single"/>
        </w:rPr>
      </w:pPr>
      <w:r>
        <w:rPr>
          <w:b/>
          <w:sz w:val="24"/>
          <w:u w:val="single"/>
        </w:rPr>
      </w:r>
    </w:p>
    <w:p>
      <w:pPr>
        <w:pStyle w:val="Normal"/>
        <w:rPr>
          <w:sz w:val="24"/>
        </w:rPr>
      </w:pPr>
      <w:r>
        <w:rPr>
          <w:sz w:val="24"/>
        </w:rPr>
        <w:tab/>
      </w:r>
    </w:p>
    <w:p>
      <w:pPr>
        <w:pStyle w:val="Normal"/>
        <w:rPr>
          <w:sz w:val="24"/>
        </w:rPr>
      </w:pPr>
      <w:r>
        <w:rPr>
          <w:sz w:val="24"/>
        </w:rPr>
        <w:t>Start Date ______________</w:t>
        <w:tab/>
        <w:t>End Date ________________</w:t>
      </w:r>
    </w:p>
    <w:p>
      <w:pPr>
        <w:pStyle w:val="Normal"/>
        <w:rPr>
          <w:sz w:val="24"/>
        </w:rPr>
      </w:pPr>
      <w:r>
        <w:rPr>
          <w:sz w:val="24"/>
        </w:rPr>
      </w:r>
    </w:p>
    <w:p>
      <w:pPr>
        <w:pStyle w:val="Normal"/>
        <w:rPr>
          <w:sz w:val="24"/>
        </w:rPr>
      </w:pPr>
      <w:r>
        <w:rPr>
          <w:sz w:val="24"/>
        </w:rPr>
        <w:t>Receipt Point______________</w:t>
      </w:r>
    </w:p>
    <w:p>
      <w:pPr>
        <w:pStyle w:val="Normal"/>
        <w:rPr>
          <w:sz w:val="24"/>
        </w:rPr>
      </w:pPr>
      <w:r>
        <w:rPr>
          <w:sz w:val="24"/>
        </w:rPr>
      </w:r>
    </w:p>
    <w:p>
      <w:pPr>
        <w:pStyle w:val="Normal"/>
        <w:rPr>
          <w:sz w:val="24"/>
        </w:rPr>
      </w:pPr>
      <w:r>
        <w:rPr>
          <w:sz w:val="24"/>
        </w:rPr>
        <w:t>Delivery Point ______________</w:t>
      </w:r>
    </w:p>
    <w:p>
      <w:pPr>
        <w:pStyle w:val="Normal"/>
        <w:rPr>
          <w:sz w:val="24"/>
        </w:rPr>
      </w:pPr>
      <w:r>
        <w:rPr>
          <w:sz w:val="24"/>
        </w:rPr>
      </w:r>
    </w:p>
    <w:p>
      <w:pPr>
        <w:pStyle w:val="Normal"/>
        <w:rPr>
          <w:sz w:val="24"/>
        </w:rPr>
      </w:pPr>
      <w:r>
        <w:rPr>
          <w:sz w:val="24"/>
        </w:rPr>
      </w:r>
    </w:p>
    <w:p>
      <w:pPr>
        <w:pStyle w:val="Normal"/>
        <w:rPr>
          <w:sz w:val="24"/>
        </w:rPr>
      </w:pPr>
      <w:r>
        <w:rPr>
          <w:sz w:val="24"/>
        </w:rPr>
        <w:t>Rate:  Recourse Rate: _______________________________________</w:t>
        <w:br/>
      </w:r>
    </w:p>
    <w:p>
      <w:pPr>
        <w:pStyle w:val="Normal"/>
        <w:rPr>
          <w:sz w:val="24"/>
        </w:rPr>
      </w:pPr>
      <w:r>
        <w:rPr>
          <w:sz w:val="24"/>
        </w:rPr>
        <w:t>Or</w:t>
      </w:r>
    </w:p>
    <w:p>
      <w:pPr>
        <w:pStyle w:val="Normal"/>
        <w:rPr>
          <w:sz w:val="24"/>
        </w:rPr>
      </w:pPr>
      <w:r>
        <w:rPr>
          <w:sz w:val="24"/>
        </w:rPr>
      </w:r>
    </w:p>
    <w:p>
      <w:pPr>
        <w:pStyle w:val="Normal"/>
        <w:rPr>
          <w:sz w:val="24"/>
        </w:rPr>
      </w:pPr>
      <w:r>
        <w:rPr>
          <w:sz w:val="24"/>
        </w:rPr>
      </w:r>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rPr>
          <w:sz w:val="24"/>
        </w:rPr>
      </w:pPr>
      <w:r>
        <w:rPr>
          <w:sz w:val="24"/>
        </w:rPr>
        <w:t>Negotiated Rate:          _________________________________________</w:t>
      </w:r>
    </w:p>
    <w:p>
      <w:pPr>
        <w:pStyle w:val="Normal"/>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EXHIBIT B</w:t>
      </w:r>
    </w:p>
    <w:p>
      <w:pPr>
        <w:pStyle w:val="Normal"/>
        <w:jc w:val="center"/>
        <w:rPr>
          <w:sz w:val="24"/>
        </w:rPr>
      </w:pPr>
      <w:r>
        <w:rPr>
          <w:sz w:val="24"/>
        </w:rPr>
      </w:r>
    </w:p>
    <w:p>
      <w:pPr>
        <w:pStyle w:val="Normal"/>
        <w:jc w:val="center"/>
        <w:rPr>
          <w:sz w:val="24"/>
        </w:rPr>
      </w:pPr>
      <w:r>
        <w:rPr>
          <w:sz w:val="24"/>
        </w:rPr>
        <w:t>FORM OF MAINLINE SERVICE REQUEST</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b/>
          <w:sz w:val="24"/>
          <w:u w:val="single"/>
        </w:rPr>
      </w:pPr>
      <w:r>
        <w:rPr>
          <w:b/>
          <w:sz w:val="24"/>
          <w:u w:val="single"/>
        </w:rPr>
        <w:t>EXHIBIT C</w:t>
      </w:r>
    </w:p>
    <w:p>
      <w:pPr>
        <w:pStyle w:val="Normal"/>
        <w:jc w:val="center"/>
        <w:rPr>
          <w:b/>
          <w:sz w:val="24"/>
          <w:u w:val="single"/>
        </w:rPr>
      </w:pPr>
      <w:r>
        <w:rPr>
          <w:b/>
          <w:sz w:val="24"/>
          <w:u w:val="single"/>
        </w:rPr>
      </w:r>
    </w:p>
    <w:p>
      <w:pPr>
        <w:pStyle w:val="Normal"/>
        <w:jc w:val="center"/>
        <w:rPr>
          <w:b/>
          <w:sz w:val="24"/>
          <w:u w:val="single"/>
        </w:rPr>
      </w:pPr>
      <w:r>
        <w:rPr>
          <w:b/>
          <w:sz w:val="24"/>
          <w:u w:val="single"/>
        </w:rPr>
        <w:t>Permit Required by Shipper</w:t>
      </w:r>
    </w:p>
    <w:p>
      <w:pPr>
        <w:pStyle w:val="Normal"/>
        <w:jc w:val="center"/>
        <w:rPr>
          <w:b/>
          <w:sz w:val="24"/>
          <w:u w:val="single"/>
        </w:rPr>
      </w:pPr>
      <w:r>
        <w:rPr>
          <w:b/>
          <w:sz w:val="24"/>
          <w:u w:val="single"/>
        </w:rPr>
      </w:r>
    </w:p>
    <w:p>
      <w:pPr>
        <w:pStyle w:val="Normal"/>
        <w:jc w:val="center"/>
        <w:rPr>
          <w:b/>
          <w:sz w:val="24"/>
          <w:u w:val="single"/>
        </w:rPr>
      </w:pPr>
      <w:r>
        <w:rPr>
          <w:b/>
          <w:sz w:val="24"/>
          <w:u w:val="single"/>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Permit</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Issuing Entity</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Date Required</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bl>
    <w:p>
      <w:pPr>
        <w:pStyle w:val="Normal"/>
        <w:jc w:val="center"/>
        <w:rPr/>
      </w:pPr>
      <w:r>
        <w:rPr/>
      </w:r>
    </w:p>
    <w:p>
      <w:pPr>
        <w:pStyle w:val="Normal"/>
        <w:rPr>
          <w:sz w:val="24"/>
        </w:rPr>
      </w:pPr>
      <w:r>
        <w:rPr>
          <w:sz w:val="24"/>
        </w:rPr>
      </w:r>
    </w:p>
    <w:sectPr>
      <w:headerReference w:type="default" r:id="rId14"/>
      <w:headerReference w:type="first" r:id="rId15"/>
      <w:footerReference w:type="default" r:id="rId16"/>
      <w:footerReference w:type="first" r:id="rId17"/>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Univers 47 CondensedLight">
    <w:altName w:val="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Univers 47 CondensedLight;Arial Narrow" w:hAnsi="Univers 47 CondensedLight;Arial Narrow" w:cs="Univers 47 CondensedLight;Arial Narrow"/>
        <w:color w:val="808080"/>
        <w:spacing w:val="-2"/>
        <w:sz w:val="15"/>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rPr>
        <w:rFonts w:ascii="Univers 47 CondensedLight;Arial Narrow" w:hAnsi="Univers 47 CondensedLight;Arial Narrow" w:cs="Univers 47 CondensedLight;Arial Narrow"/>
        <w:color w:val="808080"/>
        <w:spacing w:val="-2"/>
        <w:sz w:val="15"/>
      </w:rPr>
    </w:pPr>
    <w:r>
      <w:rPr>
        <w:rFonts w:cs="Univers 47 CondensedLight;Arial Narrow" w:ascii="Univers 47 CondensedLight;Arial Narrow" w:hAnsi="Univers 47 CondensedLight;Arial Narrow"/>
        <w:color w:val="808080"/>
        <w:spacing w:val="-2"/>
        <w:sz w:val="15"/>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Univers 47 CondensedLight;Arial Narrow" w:hAnsi="Univers 47 CondensedLight;Arial Narrow" w:cs="Univers 47 CondensedLight;Arial Narrow"/>
        <w:i/>
        <w:i/>
        <w:color w:val="808080"/>
        <w:spacing w:val="-2"/>
        <w:sz w:val="15"/>
      </w:rPr>
    </w:pPr>
    <w:r>
      <w:rPr>
        <w:rFonts w:cs="Univers 47 CondensedLight;Arial Narrow" w:ascii="Univers 47 CondensedLight;Arial Narrow" w:hAnsi="Univers 47 CondensedLight;Arial Narrow"/>
        <w:i/>
        <w:color w:val="808080"/>
        <w:spacing w:val="-2"/>
        <w:sz w:val="15"/>
      </w:rPr>
    </w:r>
  </w:p>
  <w:p>
    <w:pPr>
      <w:pStyle w:val="Footer"/>
      <w:rPr/>
    </w:pPr>
    <w:r>
      <w:rPr>
        <w:rFonts w:cs="Univers 47 CondensedLight;Arial Narrow" w:ascii="Univers 47 CondensedLight;Arial Narrow" w:hAnsi="Univers 47 CondensedLight;Arial Narrow"/>
        <w:i/>
        <w:color w:val="808080"/>
        <w:spacing w:val="-2"/>
        <w:sz w:val="15"/>
      </w:rPr>
      <w:t>PG&amp;E National Energy Group and any other company referenced herein which uses the PG&amp;E name or logo are not the same company as Pacific Gas and Electric Company, the California utility.  These companies are not regulated by the California Public Utilities Commission, and customers do not have to buy products from these companies in order to continue to receive quality regulated services from the utility.</w:t>
    </w:r>
    <w:r>
      <w:rPr>
        <w:rStyle w:val="PageNumber"/>
      </w:rPr>
      <w:t xml:space="preserve"> </w:t>
    </w:r>
  </w:p>
  <w:p>
    <w:pPr>
      <w:pStyle w:val="Footer"/>
      <w:jc w:val="center"/>
      <w:rPr>
        <w:rStyle w:val="PageNumb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rFonts w:ascii="Univers 47 CondensedLight;Arial Narrow" w:hAnsi="Univers 47 CondensedLight;Arial Narrow" w:cs="Univers 47 CondensedLight;Arial Narrow"/>
        <w:color w:val="808080"/>
        <w:spacing w:val="-2"/>
        <w:sz w:val="15"/>
      </w:rPr>
    </w:pPr>
    <w:r>
      <w:rPr>
        <w:rFonts w:cs="Univers 47 CondensedLight;Arial Narrow" w:ascii="Univers 47 CondensedLight;Arial Narrow" w:hAnsi="Univers 47 CondensedLight;Arial Narrow"/>
        <w:color w:val="808080"/>
        <w:spacing w:val="-2"/>
        <w:sz w:val="15"/>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Univers 47 CondensedLight;Arial Narrow" w:hAnsi="Univers 47 CondensedLight;Arial Narrow" w:cs="Univers 47 CondensedLight;Arial Narrow"/>
        <w:i/>
        <w:i/>
        <w:color w:val="808080"/>
        <w:spacing w:val="-2"/>
        <w:sz w:val="15"/>
      </w:rPr>
    </w:pPr>
    <w:r>
      <w:rPr>
        <w:rFonts w:cs="Univers 47 CondensedLight;Arial Narrow" w:ascii="Univers 47 CondensedLight;Arial Narrow" w:hAnsi="Univers 47 CondensedLight;Arial Narrow"/>
        <w:i/>
        <w:color w:val="808080"/>
        <w:spacing w:val="-2"/>
        <w:sz w:val="15"/>
      </w:rPr>
    </w:r>
  </w:p>
  <w:p>
    <w:pPr>
      <w:pStyle w:val="Footer"/>
      <w:rPr/>
    </w:pPr>
    <w:r>
      <w:rPr>
        <w:rFonts w:cs="Univers 47 CondensedLight;Arial Narrow" w:ascii="Univers 47 CondensedLight;Arial Narrow" w:hAnsi="Univers 47 CondensedLight;Arial Narrow"/>
        <w:i/>
        <w:color w:val="808080"/>
        <w:spacing w:val="-2"/>
        <w:sz w:val="15"/>
      </w:rPr>
      <w:t>PG&amp;E National Energy Group and any other company referenced herein which uses the PG&amp;E name or logo are not the same company as Pacific Gas and Electric Company, the California utility.  These companies are not regulated by the California Public Utilities Commission, and customers do not have to buy products from these companies in order to continue to receive quality regulated services from the utility.</w:t>
    </w:r>
    <w:r>
      <w:rPr>
        <w:rStyle w:val="PageNumber"/>
      </w:rPr>
      <w:t xml:space="preserve"> </w:t>
    </w:r>
  </w:p>
  <w:p>
    <w:pPr>
      <w:pStyle w:val="Footer"/>
      <w:jc w:val="center"/>
      <w:rPr>
        <w:rStyle w:val="PageNumber"/>
      </w:rPr>
    </w:pPr>
    <w:r>
      <w:rPr/>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rFonts w:ascii="Univers 47 CondensedLight;Arial Narrow" w:hAnsi="Univers 47 CondensedLight;Arial Narrow" w:cs="Univers 47 CondensedLight;Arial Narrow"/>
        <w:color w:val="808080"/>
        <w:spacing w:val="-2"/>
        <w:sz w:val="15"/>
      </w:rPr>
    </w:pPr>
    <w:r>
      <w:rPr>
        <w:rFonts w:cs="Univers 47 CondensedLight;Arial Narrow" w:ascii="Univers 47 CondensedLight;Arial Narrow" w:hAnsi="Univers 47 CondensedLight;Arial Narrow"/>
        <w:color w:val="808080"/>
        <w:spacing w:val="-2"/>
        <w:sz w:val="15"/>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Univers 47 CondensedLight;Arial Narrow" w:hAnsi="Univers 47 CondensedLight;Arial Narrow" w:cs="Univers 47 CondensedLight;Arial Narrow"/>
        <w:i/>
        <w:i/>
        <w:color w:val="808080"/>
        <w:spacing w:val="-2"/>
        <w:sz w:val="15"/>
      </w:rPr>
    </w:pPr>
    <w:r>
      <w:rPr>
        <w:rFonts w:cs="Univers 47 CondensedLight;Arial Narrow" w:ascii="Univers 47 CondensedLight;Arial Narrow" w:hAnsi="Univers 47 CondensedLight;Arial Narrow"/>
        <w:i/>
        <w:color w:val="808080"/>
        <w:spacing w:val="-2"/>
        <w:sz w:val="15"/>
      </w:rPr>
    </w:r>
  </w:p>
  <w:p>
    <w:pPr>
      <w:pStyle w:val="Footer"/>
      <w:rPr/>
    </w:pPr>
    <w:r>
      <w:rPr>
        <w:rFonts w:cs="Univers 47 CondensedLight;Arial Narrow" w:ascii="Univers 47 CondensedLight;Arial Narrow" w:hAnsi="Univers 47 CondensedLight;Arial Narrow"/>
        <w:i/>
        <w:color w:val="808080"/>
        <w:spacing w:val="-2"/>
        <w:sz w:val="15"/>
      </w:rPr>
      <w:t>PG&amp;E National Energy Group and any other company referenced herein which uses the PG&amp;E name or logo are not the same company as Pacific Gas and Electric Company, the California utility.  These companies are not regulated by the California Public Utilities Commission, and customers do not have to buy products from these companies in order to continue to receive quality regulated services from the utility.</w:t>
    </w:r>
    <w:r>
      <w:rPr>
        <w:rStyle w:val="PageNumber"/>
      </w:rPr>
      <w:t xml:space="preserve"> </w:t>
    </w:r>
  </w:p>
  <w:p>
    <w:pPr>
      <w:pStyle w:val="Footer"/>
      <w:jc w:val="center"/>
      <w:rPr>
        <w:rStyle w:val="PageNumber"/>
      </w:rPr>
    </w:pPr>
    <w:r>
      <w:rPr/>
    </w:r>
  </w:p>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rFonts w:ascii="Univers 47 CondensedLight;Arial Narrow" w:hAnsi="Univers 47 CondensedLight;Arial Narrow" w:cs="Univers 47 CondensedLight;Arial Narrow"/>
        <w:color w:val="808080"/>
        <w:spacing w:val="-2"/>
        <w:sz w:val="15"/>
      </w:rPr>
    </w:pPr>
    <w:r>
      <w:rPr>
        <w:rFonts w:cs="Univers 47 CondensedLight;Arial Narrow" w:ascii="Univers 47 CondensedLight;Arial Narrow" w:hAnsi="Univers 47 CondensedLight;Arial Narrow"/>
        <w:color w:val="808080"/>
        <w:spacing w:val="-2"/>
        <w:sz w:val="15"/>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Univers 47 CondensedLight;Arial Narrow" w:hAnsi="Univers 47 CondensedLight;Arial Narrow" w:cs="Univers 47 CondensedLight;Arial Narrow"/>
        <w:i/>
        <w:i/>
        <w:color w:val="808080"/>
        <w:spacing w:val="-2"/>
        <w:sz w:val="15"/>
      </w:rPr>
    </w:pPr>
    <w:r>
      <w:rPr>
        <w:rFonts w:cs="Univers 47 CondensedLight;Arial Narrow" w:ascii="Univers 47 CondensedLight;Arial Narrow" w:hAnsi="Univers 47 CondensedLight;Arial Narrow"/>
        <w:i/>
        <w:color w:val="808080"/>
        <w:spacing w:val="-2"/>
        <w:sz w:val="15"/>
      </w:rPr>
    </w:r>
  </w:p>
  <w:p>
    <w:pPr>
      <w:pStyle w:val="Footer"/>
      <w:rPr/>
    </w:pPr>
    <w:r>
      <w:rPr>
        <w:rFonts w:cs="Univers 47 CondensedLight;Arial Narrow" w:ascii="Univers 47 CondensedLight;Arial Narrow" w:hAnsi="Univers 47 CondensedLight;Arial Narrow"/>
        <w:i/>
        <w:color w:val="808080"/>
        <w:spacing w:val="-2"/>
        <w:sz w:val="15"/>
      </w:rPr>
      <w:t>PG&amp;E National Energy Group and any other company referenced herein which uses the PG&amp;E name or logo are not the same company as Pacific Gas and Electric Company, the California utility.  These companies are not regulated by the California Public Utilities Commission, and customers do not have to buy products from these companies in order to continue to receive quality regulated services from the utility.</w:t>
    </w:r>
    <w:r>
      <w:rPr>
        <w:rStyle w:val="PageNumber"/>
      </w:rPr>
      <w:t xml:space="preserve"> </w:t>
    </w:r>
  </w:p>
  <w:p>
    <w:pPr>
      <w:pStyle w:val="Footer"/>
      <w:jc w:val="center"/>
      <w:rPr>
        <w:rStyle w:val="PageNumb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PRECEDENT AGREEMENT  </w:t>
      <w:tab/>
      <w:tab/>
      <w:t>July 11, 2000</w:t>
    </w:r>
  </w:p>
  <w:p>
    <w:pPr>
      <w:pStyle w:val="Header"/>
      <w:rPr>
        <w:b/>
        <w:i/>
        <w:i/>
      </w:rPr>
    </w:pPr>
    <w:r>
      <w:rPr>
        <w:b/>
        <w:i/>
      </w:rPr>
      <w:t>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PRECEDENT AGREEMENT  </w:t>
      <w:tab/>
      <w:tab/>
      <w:t>July 11, 2000</w:t>
    </w:r>
  </w:p>
  <w:p>
    <w:pPr>
      <w:pStyle w:val="Header"/>
      <w:rPr>
        <w:b/>
        <w:i/>
        <w:i/>
      </w:rPr>
    </w:pPr>
    <w:r>
      <w:rPr>
        <w:b/>
        <w:i/>
      </w:rPr>
      <w:t>CONFIDENTIAL</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PRECEDENT AGREEMENT  </w:t>
      <w:tab/>
      <w:tab/>
      <w:t>July 11, 2000</w:t>
    </w:r>
  </w:p>
  <w:p>
    <w:pPr>
      <w:pStyle w:val="Header"/>
      <w:rPr>
        <w:b/>
        <w:i/>
        <w:i/>
      </w:rPr>
    </w:pPr>
    <w:r>
      <w:rPr>
        <w:b/>
        <w:i/>
      </w:rPr>
      <w:t>CONFIDENTIAL</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PRECEDENT AGREEMENT  </w:t>
      <w:tab/>
      <w:tab/>
      <w:t>July 11, 2000</w:t>
    </w:r>
  </w:p>
  <w:p>
    <w:pPr>
      <w:pStyle w:val="Header"/>
      <w:rPr>
        <w:b/>
        <w:i/>
        <w:i/>
      </w:rPr>
    </w:pPr>
    <w:r>
      <w:rPr>
        <w:b/>
        <w:i/>
      </w:rPr>
      <w:t>CONFIDENTIAL</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PRECEDENT AGREEMENT  </w:t>
      <w:tab/>
      <w:tab/>
      <w:t>July 11, 2000</w:t>
    </w:r>
  </w:p>
  <w:p>
    <w:pPr>
      <w:pStyle w:val="Header"/>
      <w:rPr>
        <w:b/>
        <w:i/>
        <w:i/>
      </w:rPr>
    </w:pPr>
    <w:r>
      <w:rPr>
        <w:b/>
        <w:i/>
      </w:rPr>
      <w:t>CONFIDENTIAL</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PRECEDENT AGREEMENT  </w:t>
      <w:tab/>
      <w:tab/>
      <w:t>July 11, 2000</w:t>
    </w:r>
  </w:p>
  <w:p>
    <w:pPr>
      <w:pStyle w:val="Header"/>
      <w:rPr>
        <w:b/>
        <w:i/>
        <w:i/>
      </w:rPr>
    </w:pPr>
    <w:r>
      <w:rPr>
        <w:b/>
        <w:i/>
      </w:rPr>
      <w:t>CONFIDENTIAL</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PRECEDENT AGREEMENT  </w:t>
      <w:tab/>
      <w:tab/>
      <w:t>July 11, 2000</w:t>
    </w:r>
  </w:p>
  <w:p>
    <w:pPr>
      <w:pStyle w:val="Header"/>
      <w:rPr>
        <w:b/>
        <w:i/>
        <w:i/>
      </w:rPr>
    </w:pPr>
    <w:r>
      <w:rPr>
        <w:b/>
        <w:i/>
      </w:rPr>
      <w:t>CONFIDENTIAL</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PRECEDENT AGREEMENT  </w:t>
      <w:tab/>
      <w:tab/>
      <w:t>July 11, 2000</w:t>
    </w:r>
  </w:p>
  <w:p>
    <w:pPr>
      <w:pStyle w:val="Header"/>
      <w:rPr>
        <w:b/>
        <w:i/>
        <w:i/>
      </w:rPr>
    </w:pPr>
    <w:r>
      <w:rPr>
        <w:b/>
        <w:i/>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60" w:hanging="360"/>
      </w:pPr>
    </w:lvl>
    <w:lvl w:ilvl="1">
      <w:start w:val="1"/>
      <w:pStyle w:val="Heading2"/>
      <w:numFmt w:val="decimal"/>
      <w:lvlText w:val="%1.%2."/>
      <w:lvlJc w:val="start"/>
      <w:pPr>
        <w:tabs>
          <w:tab w:val="num" w:pos="792"/>
        </w:tabs>
        <w:ind w:start="792" w:hanging="432"/>
      </w:pPr>
    </w:lvl>
    <w:lvl w:ilvl="2">
      <w:start w:val="1"/>
      <w:pStyle w:val="Heading3"/>
      <w:numFmt w:val="decimal"/>
      <w:lvlText w:val="%1.%2.%3."/>
      <w:lvlJc w:val="start"/>
      <w:pPr>
        <w:tabs>
          <w:tab w:val="num" w:pos="1440"/>
        </w:tabs>
        <w:ind w:start="1224" w:hanging="504"/>
      </w:pPr>
    </w:lvl>
    <w:lvl w:ilvl="3">
      <w:start w:val="1"/>
      <w:pStyle w:val="Heading4"/>
      <w:numFmt w:val="decimal"/>
      <w:lvlText w:val="%1.%2.%3.%4."/>
      <w:lvlJc w:val="start"/>
      <w:pPr>
        <w:tabs>
          <w:tab w:val="num" w:pos="2160"/>
        </w:tabs>
        <w:ind w:start="1728" w:hanging="648"/>
      </w:pPr>
    </w:lvl>
    <w:lvl w:ilvl="4">
      <w:start w:val="1"/>
      <w:pStyle w:val="Heading5"/>
      <w:numFmt w:val="decimal"/>
      <w:lvlText w:val="%1.%2.%3.%4.%5."/>
      <w:lvlJc w:val="start"/>
      <w:pPr>
        <w:tabs>
          <w:tab w:val="num" w:pos="2520"/>
        </w:tabs>
        <w:ind w:start="2232" w:hanging="792"/>
      </w:pPr>
    </w:lvl>
    <w:lvl w:ilvl="5">
      <w:start w:val="1"/>
      <w:pStyle w:val="Heading6"/>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pStyle w:val="Heading9"/>
      <w:numFmt w:val="decimal"/>
      <w:lvlText w:val="%1.%2.%3.%4.%5.%6.%7.%8.%9."/>
      <w:lvlJc w:val="start"/>
      <w:pPr>
        <w:tabs>
          <w:tab w:val="num" w:pos="4680"/>
        </w:tabs>
        <w:ind w:start="4320" w:hanging="1440"/>
      </w:pPr>
    </w:lvl>
  </w:abstractNum>
  <w:abstractNum w:abstractNumId="2">
    <w:lvl w:ilvl="0">
      <w:start w:val="1"/>
      <w:numFmt w:val="lowerLetter"/>
      <w:lvlText w:val="%1."/>
      <w:lvlJc w:val="start"/>
      <w:pPr>
        <w:tabs>
          <w:tab w:val="num" w:pos="720"/>
        </w:tabs>
        <w:ind w:start="720" w:hanging="360"/>
      </w:pPr>
      <w:rPr>
        <w:sz w:val="24"/>
        <w:i w:val="false"/>
        <w:b w:val="false"/>
        <w:rFonts w:ascii="Times New Roman" w:hAnsi="Times New Roman" w:cs="Times New Roman"/>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lowerRoman"/>
      <w:lvlText w:val="(%1)"/>
      <w:lvlJc w:val="start"/>
      <w:pPr>
        <w:tabs>
          <w:tab w:val="num" w:pos="2220"/>
        </w:tabs>
        <w:ind w:start="2220" w:hanging="720"/>
      </w:pPr>
      <w:rPr/>
    </w:lvl>
  </w:abstractNum>
  <w:abstractNum w:abstractNumId="4">
    <w:lvl w:ilvl="0">
      <w:start w:val="1"/>
      <w:numFmt w:val="lowerLetter"/>
      <w:lvlText w:val="%1."/>
      <w:lvlJc w:val="start"/>
      <w:pPr>
        <w:tabs>
          <w:tab w:val="num" w:pos="1170"/>
        </w:tabs>
        <w:ind w:start="1170" w:hanging="450"/>
      </w:pPr>
      <w:rPr/>
    </w:lvl>
  </w:abstractNum>
  <w:abstractNum w:abstractNumId="5">
    <w:lvl w:ilvl="0">
      <w:start w:val="1"/>
      <w:numFmt w:val="lowerLetter"/>
      <w:lvlText w:val="%1."/>
      <w:lvlJc w:val="start"/>
      <w:pPr>
        <w:tabs>
          <w:tab w:val="num" w:pos="1170"/>
        </w:tabs>
        <w:ind w:start="1170" w:hanging="450"/>
      </w:pPr>
      <w:rPr/>
    </w:lvl>
  </w:abstractNum>
  <w:abstractNum w:abstractNumId="6">
    <w:lvl w:ilvl="0">
      <w:start w:val="7"/>
      <w:numFmt w:val="decimal"/>
      <w:lvlText w:val="%1."/>
      <w:lvlJc w:val="start"/>
      <w:pPr>
        <w:tabs>
          <w:tab w:val="num" w:pos="360"/>
        </w:tabs>
        <w:ind w:start="360" w:hanging="360"/>
      </w:pPr>
      <w:rPr>
        <w:u w:val="none"/>
      </w:r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8"/>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7">
    <w:lvl w:ilvl="0">
      <w:start w:val="8"/>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numPr>
        <w:ilvl w:val="0"/>
        <w:numId w:val="1"/>
      </w:numPr>
      <w:tabs>
        <w:tab w:val="clear" w:pos="720"/>
        <w:tab w:val="left" w:pos="1080" w:leader="none"/>
      </w:tabs>
      <w:spacing w:lineRule="exact" w:line="260" w:before="260" w:after="0"/>
      <w:ind w:hanging="1080" w:start="1080" w:end="0"/>
      <w:outlineLvl w:val="0"/>
    </w:pPr>
    <w:rPr>
      <w:rFonts w:ascii="Galliard;Times New Roman" w:hAnsi="Galliard;Times New Roman" w:cs="Galliard;Times New Roman"/>
      <w:kern w:val="2"/>
      <w:sz w:val="24"/>
    </w:rPr>
  </w:style>
  <w:style w:type="paragraph" w:styleId="Heading2">
    <w:name w:val="heading 2"/>
    <w:basedOn w:val="Normal"/>
    <w:next w:val="BodyText"/>
    <w:qFormat/>
    <w:pPr>
      <w:numPr>
        <w:ilvl w:val="1"/>
        <w:numId w:val="1"/>
      </w:numPr>
      <w:tabs>
        <w:tab w:val="clear" w:pos="720"/>
        <w:tab w:val="left" w:pos="1800" w:leader="none"/>
      </w:tabs>
      <w:spacing w:lineRule="exact" w:line="260" w:before="260" w:after="0"/>
      <w:ind w:hanging="0" w:start="1800" w:end="0"/>
      <w:outlineLvl w:val="1"/>
    </w:pPr>
    <w:rPr>
      <w:rFonts w:ascii="Galliard;Times New Roman" w:hAnsi="Galliard;Times New Roman" w:cs="Galliard;Times New Roman"/>
      <w:sz w:val="24"/>
    </w:rPr>
  </w:style>
  <w:style w:type="paragraph" w:styleId="Heading3">
    <w:name w:val="heading 3"/>
    <w:basedOn w:val="Normal"/>
    <w:next w:val="BodyText"/>
    <w:qFormat/>
    <w:pPr>
      <w:numPr>
        <w:ilvl w:val="2"/>
        <w:numId w:val="1"/>
      </w:numPr>
      <w:tabs>
        <w:tab w:val="clear" w:pos="720"/>
        <w:tab w:val="left" w:pos="2520" w:leader="none"/>
      </w:tabs>
      <w:spacing w:lineRule="exact" w:line="260" w:before="260" w:after="0"/>
      <w:ind w:hanging="0" w:start="2520" w:end="0"/>
      <w:outlineLvl w:val="2"/>
    </w:pPr>
    <w:rPr>
      <w:rFonts w:ascii="Galliard;Times New Roman" w:hAnsi="Galliard;Times New Roman" w:cs="Galliard;Times New Roman"/>
      <w:sz w:val="24"/>
    </w:rPr>
  </w:style>
  <w:style w:type="paragraph" w:styleId="Heading4">
    <w:name w:val="heading 4"/>
    <w:basedOn w:val="Normal"/>
    <w:next w:val="BodyText"/>
    <w:qFormat/>
    <w:pPr>
      <w:numPr>
        <w:ilvl w:val="3"/>
        <w:numId w:val="1"/>
      </w:numPr>
      <w:tabs>
        <w:tab w:val="clear" w:pos="720"/>
        <w:tab w:val="left" w:pos="3240" w:leader="none"/>
      </w:tabs>
      <w:spacing w:lineRule="exact" w:line="260" w:before="260" w:after="0"/>
      <w:ind w:hanging="504" w:start="3240" w:end="0"/>
      <w:outlineLvl w:val="3"/>
    </w:pPr>
    <w:rPr>
      <w:rFonts w:ascii="Galliard;Times New Roman" w:hAnsi="Galliard;Times New Roman" w:cs="Galliard;Times New Roman"/>
      <w:sz w:val="24"/>
    </w:rPr>
  </w:style>
  <w:style w:type="paragraph" w:styleId="Heading5">
    <w:name w:val="heading 5"/>
    <w:basedOn w:val="Normal"/>
    <w:next w:val="BodyText"/>
    <w:qFormat/>
    <w:pPr>
      <w:numPr>
        <w:ilvl w:val="4"/>
        <w:numId w:val="1"/>
      </w:numPr>
      <w:tabs>
        <w:tab w:val="clear" w:pos="720"/>
        <w:tab w:val="left" w:pos="3960" w:leader="none"/>
      </w:tabs>
      <w:spacing w:lineRule="exact" w:line="260" w:before="260" w:after="0"/>
      <w:ind w:hanging="576" w:start="3960" w:end="0"/>
      <w:outlineLvl w:val="4"/>
    </w:pPr>
    <w:rPr>
      <w:rFonts w:ascii="Galliard;Times New Roman" w:hAnsi="Galliard;Times New Roman" w:cs="Galliard;Times New Roman"/>
      <w:sz w:val="24"/>
    </w:rPr>
  </w:style>
  <w:style w:type="paragraph" w:styleId="Heading6">
    <w:name w:val="heading 6"/>
    <w:basedOn w:val="Normal"/>
    <w:next w:val="BodyText"/>
    <w:qFormat/>
    <w:pPr>
      <w:numPr>
        <w:ilvl w:val="5"/>
        <w:numId w:val="1"/>
      </w:numPr>
      <w:tabs>
        <w:tab w:val="clear" w:pos="720"/>
      </w:tabs>
      <w:spacing w:lineRule="exact" w:line="260" w:before="260" w:after="0"/>
      <w:ind w:firstLine="1080" w:start="0" w:end="0"/>
      <w:outlineLvl w:val="5"/>
    </w:pPr>
    <w:rPr>
      <w:rFonts w:ascii="Galliard;Times New Roman" w:hAnsi="Galliard;Times New Roman" w:cs="Galliard;Times New Roman"/>
      <w:sz w:val="24"/>
    </w:rPr>
  </w:style>
  <w:style w:type="paragraph" w:styleId="Heading7">
    <w:name w:val="heading 7"/>
    <w:basedOn w:val="Normal"/>
    <w:next w:val="Normal"/>
    <w:qFormat/>
    <w:pPr>
      <w:keepNext w:val="true"/>
      <w:outlineLvl w:val="6"/>
    </w:pPr>
    <w:rPr>
      <w:b/>
      <w:sz w:val="22"/>
      <w:u w:val="single"/>
    </w:rPr>
  </w:style>
  <w:style w:type="paragraph" w:styleId="Heading8">
    <w:name w:val="heading 8"/>
    <w:basedOn w:val="Normal"/>
    <w:next w:val="Normal"/>
    <w:qFormat/>
    <w:pPr>
      <w:keepNext w:val="true"/>
      <w:ind w:hanging="720" w:start="720" w:end="0"/>
      <w:outlineLvl w:val="7"/>
    </w:pPr>
    <w:rPr>
      <w:b/>
      <w:sz w:val="22"/>
      <w:u w:val="single"/>
    </w:rPr>
  </w:style>
  <w:style w:type="paragraph" w:styleId="Heading9">
    <w:name w:val="heading 9"/>
    <w:basedOn w:val="Normal"/>
    <w:next w:val="BodyText"/>
    <w:qFormat/>
    <w:pPr>
      <w:numPr>
        <w:ilvl w:val="8"/>
        <w:numId w:val="1"/>
      </w:numPr>
      <w:tabs>
        <w:tab w:val="clear" w:pos="720"/>
      </w:tabs>
      <w:spacing w:lineRule="exact" w:line="520"/>
      <w:ind w:firstLine="1800" w:start="0" w:end="0"/>
      <w:outlineLvl w:val="8"/>
    </w:pPr>
    <w:rPr>
      <w:rFonts w:ascii="Galliard;Times New Roman" w:hAnsi="Galliard;Times New Roman" w:cs="Galliard;Times New Roman"/>
      <w:sz w:val="24"/>
    </w:rPr>
  </w:style>
  <w:style w:type="character" w:styleId="WW8Num1z0">
    <w:name w:val="WW8Num1z0"/>
    <w:qFormat/>
    <w:rPr>
      <w:rFonts w:ascii="Times New Roman" w:hAnsi="Times New Roman" w:cs="Times New Roman"/>
      <w:b w:val="false"/>
      <w:i w:val="false"/>
      <w:caps w:val="false"/>
      <w:smallCaps w:val="false"/>
      <w:strike w:val="false"/>
      <w:dstrike w:val="false"/>
      <w:shadow w:val="false"/>
      <w:vanish w:val="false"/>
      <w:color w:val="auto"/>
      <w:position w:val="0"/>
      <w:sz w:val="24"/>
      <w:sz w:val="24"/>
      <w:vertAlign w:val="baseline"/>
    </w:rPr>
  </w:style>
  <w:style w:type="character" w:styleId="WW8Num5z0">
    <w:name w:val="WW8Num5z0"/>
    <w:qFormat/>
    <w:rPr>
      <w:rFonts w:ascii="Times New Roman" w:hAnsi="Times New Roman" w:cs="Times New Roman"/>
      <w:sz w:val="24"/>
    </w:rPr>
  </w:style>
  <w:style w:type="character" w:styleId="WW8Num6z0">
    <w:name w:val="WW8Num6z0"/>
    <w:qFormat/>
    <w:rPr>
      <w:rFonts w:ascii="Times New Roman" w:hAnsi="Times New Roman" w:cs="Times New Roman"/>
      <w:sz w:val="24"/>
    </w:rPr>
  </w:style>
  <w:style w:type="character" w:styleId="WW8Num7z0">
    <w:name w:val="WW8Num7z0"/>
    <w:qFormat/>
    <w:rPr>
      <w:u w:val="none"/>
    </w:rPr>
  </w:style>
  <w:style w:type="character" w:styleId="WW8Num8z0">
    <w:name w:val="WW8Num8z0"/>
    <w:qFormat/>
    <w:rPr>
      <w:rFonts w:ascii="Times New Roman" w:hAnsi="Times New Roman" w:cs="Times New Roman"/>
      <w:b w:val="false"/>
      <w:i w:val="false"/>
      <w:sz w:val="24"/>
    </w:rPr>
  </w:style>
  <w:style w:type="character" w:styleId="WW8Num9z0">
    <w:name w:val="WW8Num9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u w:val="none"/>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2"/>
    </w:rPr>
  </w:style>
  <w:style w:type="paragraph" w:styleId="BodyTextStyle">
    <w:name w:val="Body Text Style"/>
    <w:basedOn w:val="Normal"/>
    <w:qFormat/>
    <w:pPr>
      <w:spacing w:lineRule="exact" w:line="520"/>
      <w:ind w:firstLine="1080" w:start="0" w:end="0"/>
    </w:pPr>
    <w:rPr>
      <w:rFonts w:ascii="Galliard;Times New Roman" w:hAnsi="Galliard;Times New Roman" w:cs="Galliard;Times New Roman"/>
      <w:sz w:val="24"/>
    </w:rPr>
  </w:style>
  <w:style w:type="paragraph" w:styleId="Center">
    <w:name w:val="Center"/>
    <w:basedOn w:val="Normal"/>
    <w:qFormat/>
    <w:pPr>
      <w:spacing w:lineRule="exact" w:line="260" w:before="240" w:after="120"/>
      <w:jc w:val="center"/>
    </w:pPr>
    <w:rPr>
      <w:rFonts w:ascii="Galliard;Times New Roman" w:hAnsi="Galliard;Times New Roman" w:cs="Galliard;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rPr>
      <w:sz w:val="24"/>
    </w:rPr>
  </w:style>
  <w:style w:type="paragraph" w:styleId="BodyTextIndent">
    <w:name w:val="Body Text Indent"/>
    <w:basedOn w:val="Normal"/>
    <w:pPr>
      <w:ind w:hanging="0" w:start="1440" w:end="0"/>
    </w:pPr>
    <w:rPr>
      <w:sz w:val="24"/>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2001-07-16T19:43:00Z</dcterms:created>
  <dc:creator>pmccaske</dc:creator>
  <dc:description/>
  <dc:language>en-CA</dc:language>
  <cp:lastModifiedBy>Jim Shoene</cp:lastModifiedBy>
  <cp:lastPrinted>2001-07-11T14:50:00Z</cp:lastPrinted>
  <dcterms:modified xsi:type="dcterms:W3CDTF">2001-07-16T19:43:00Z</dcterms:modified>
  <cp:revision>2</cp:revision>
  <dc:subject/>
  <dc:title>WASH LAT PA 7/10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S7XS01!.DOC</vt:lpwstr>
  </property>
  <property fmtid="{D5CDD505-2E9C-101B-9397-08002B2CF9AE}" pid="3" name="DOCSDocVer">
    <vt:lpwstr>1</vt:lpwstr>
  </property>
  <property fmtid="{D5CDD505-2E9C-101B-9397-08002B2CF9AE}" pid="4" name="DOCSNumber">
    <vt:lpwstr>1316656</vt:lpwstr>
  </property>
</Properties>
</file>