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War Room Agenda</w:t>
      </w:r>
    </w:p>
    <w:p>
      <w:pPr>
        <w:pStyle w:val="Normal"/>
        <w:jc w:val="center"/>
        <w:rPr>
          <w:b/>
          <w:bCs/>
        </w:rPr>
      </w:pPr>
      <w:r>
        <w:rPr>
          <w:b/>
          <w:bCs/>
        </w:rPr>
        <w:t>California Conference Call</w:t>
      </w:r>
    </w:p>
    <w:p>
      <w:pPr>
        <w:pStyle w:val="Normal"/>
        <w:jc w:val="center"/>
        <w:rPr>
          <w:b/>
          <w:bCs/>
        </w:rPr>
      </w:pPr>
      <w:r>
        <w:rPr>
          <w:b/>
          <w:bCs/>
        </w:rPr>
        <w:t>March 20, 2001</w:t>
      </w:r>
    </w:p>
    <w:p>
      <w:pPr>
        <w:pStyle w:val="Normal"/>
        <w:jc w:val="center"/>
        <w:rPr>
          <w:b/>
          <w:bCs/>
        </w:rPr>
      </w:pPr>
      <w:r>
        <w:rPr>
          <w:b/>
          <w:bCs/>
        </w:rPr>
      </w:r>
    </w:p>
    <w:p>
      <w:pPr>
        <w:pStyle w:val="Heading1"/>
        <w:ind w:hanging="0" w:start="0"/>
        <w:rPr/>
      </w:pPr>
      <w:r>
        <w:rPr/>
        <w:t>California</w:t>
      </w:r>
    </w:p>
    <w:p>
      <w:pPr>
        <w:pStyle w:val="Normal"/>
        <w:numPr>
          <w:ilvl w:val="0"/>
          <w:numId w:val="2"/>
        </w:numPr>
        <w:rPr/>
      </w:pPr>
      <w:r>
        <w:rPr/>
        <w:t>Legislative/Hearing Update</w:t>
      </w:r>
    </w:p>
    <w:p>
      <w:pPr>
        <w:pStyle w:val="Normal"/>
        <w:numPr>
          <w:ilvl w:val="0"/>
          <w:numId w:val="2"/>
        </w:numPr>
        <w:rPr/>
      </w:pPr>
      <w:r>
        <w:rPr/>
        <w:t>Sale of Pastoria to Calpine</w:t>
      </w:r>
    </w:p>
    <w:p>
      <w:pPr>
        <w:pStyle w:val="Normal"/>
        <w:numPr>
          <w:ilvl w:val="1"/>
          <w:numId w:val="2"/>
        </w:numPr>
        <w:rPr/>
      </w:pPr>
      <w:r>
        <w:rPr/>
        <w:t>Press release (March 21</w:t>
      </w:r>
      <w:r>
        <w:rPr>
          <w:vertAlign w:val="superscript"/>
        </w:rPr>
        <w:t>st</w:t>
      </w:r>
      <w:r>
        <w:rPr/>
        <w:t>)</w:t>
      </w:r>
    </w:p>
    <w:p>
      <w:pPr>
        <w:pStyle w:val="Normal"/>
        <w:numPr>
          <w:ilvl w:val="1"/>
          <w:numId w:val="2"/>
        </w:numPr>
        <w:rPr/>
      </w:pPr>
      <w:r>
        <w:rPr/>
        <w:t>Q&amp;A document</w:t>
      </w:r>
    </w:p>
    <w:p>
      <w:pPr>
        <w:pStyle w:val="Normal"/>
        <w:numPr>
          <w:ilvl w:val="0"/>
          <w:numId w:val="2"/>
        </w:numPr>
        <w:rPr/>
      </w:pPr>
      <w:r>
        <w:rPr/>
        <w:t>FERC Update</w:t>
      </w:r>
    </w:p>
    <w:p>
      <w:pPr>
        <w:pStyle w:val="Normal"/>
        <w:numPr>
          <w:ilvl w:val="1"/>
          <w:numId w:val="2"/>
        </w:numPr>
        <w:rPr/>
      </w:pPr>
      <w:r>
        <w:rPr/>
        <w:t>Commissioners</w:t>
      </w:r>
    </w:p>
    <w:p>
      <w:pPr>
        <w:pStyle w:val="Normal"/>
        <w:numPr>
          <w:ilvl w:val="1"/>
          <w:numId w:val="2"/>
        </w:numPr>
        <w:rPr/>
      </w:pPr>
      <w:r>
        <w:rPr/>
        <w:t>RTO Orders</w:t>
      </w:r>
    </w:p>
    <w:p>
      <w:pPr>
        <w:pStyle w:val="Normal"/>
        <w:numPr>
          <w:ilvl w:val="0"/>
          <w:numId w:val="2"/>
        </w:numPr>
        <w:rPr/>
      </w:pPr>
      <w:r>
        <w:rPr/>
        <w:t>CPUC Order</w:t>
      </w:r>
    </w:p>
    <w:p>
      <w:pPr>
        <w:pStyle w:val="Normal"/>
        <w:numPr>
          <w:ilvl w:val="1"/>
          <w:numId w:val="2"/>
        </w:numPr>
        <w:rPr/>
      </w:pPr>
      <w:r>
        <w:rPr/>
        <w:t>SoCalEd and PG&amp;E to pay QFs $1B in past-due payment</w:t>
      </w:r>
    </w:p>
    <w:p>
      <w:pPr>
        <w:pStyle w:val="Normal"/>
        <w:numPr>
          <w:ilvl w:val="1"/>
          <w:numId w:val="2"/>
        </w:numPr>
        <w:rPr/>
      </w:pPr>
      <w:r>
        <w:rPr/>
        <w:t>Draft resolution expected this week</w:t>
      </w:r>
    </w:p>
    <w:p>
      <w:pPr>
        <w:pStyle w:val="Normal"/>
        <w:numPr>
          <w:ilvl w:val="1"/>
          <w:numId w:val="2"/>
        </w:numPr>
        <w:rPr/>
      </w:pPr>
      <w:r>
        <w:rPr/>
        <w:t>Impacts to SB47X??</w:t>
      </w:r>
    </w:p>
    <w:p>
      <w:pPr>
        <w:pStyle w:val="Normal"/>
        <w:numPr>
          <w:ilvl w:val="0"/>
          <w:numId w:val="2"/>
        </w:numPr>
        <w:rPr/>
      </w:pPr>
      <w:r>
        <w:rPr/>
        <w:t>Other issues??</w:t>
      </w:r>
    </w:p>
    <w:p>
      <w:pPr>
        <w:pStyle w:val="Normal"/>
        <w:rPr/>
      </w:pPr>
      <w:r>
        <w:rPr/>
      </w:r>
    </w:p>
    <w:p>
      <w:pPr>
        <w:pStyle w:val="Normal"/>
        <w:rPr/>
      </w:pPr>
      <w:r>
        <w:rPr/>
      </w:r>
    </w:p>
    <w:p>
      <w:pPr>
        <w:pStyle w:val="Heading1"/>
        <w:ind w:hanging="0" w:start="0"/>
        <w:rPr>
          <w:u w:val="none"/>
        </w:rPr>
      </w:pPr>
      <w:r>
        <w:rPr/>
        <w:t>Miscellaneous</w:t>
      </w:r>
    </w:p>
    <w:p>
      <w:pPr>
        <w:pStyle w:val="Normal"/>
        <w:numPr>
          <w:ilvl w:val="0"/>
          <w:numId w:val="2"/>
        </w:numPr>
        <w:rPr/>
      </w:pPr>
      <w:r>
        <w:rPr/>
        <w:t>California ISOStage 3/Rotating Outages</w:t>
      </w:r>
    </w:p>
    <w:p>
      <w:pPr>
        <w:pStyle w:val="Normal"/>
        <w:numPr>
          <w:ilvl w:val="1"/>
          <w:numId w:val="2"/>
        </w:numPr>
        <w:rPr/>
      </w:pPr>
      <w:r>
        <w:rPr/>
        <w:t>Outages in LA and Orange County</w:t>
      </w:r>
    </w:p>
    <w:p>
      <w:pPr>
        <w:pStyle w:val="Normal"/>
        <w:numPr>
          <w:ilvl w:val="0"/>
          <w:numId w:val="2"/>
        </w:numPr>
        <w:rPr/>
      </w:pPr>
      <w:r>
        <w:rPr/>
        <w:t>Direct Access Coalition/Alliance for Retail Energy Markets</w:t>
      </w:r>
    </w:p>
    <w:p>
      <w:pPr>
        <w:pStyle w:val="Normal"/>
        <w:numPr>
          <w:ilvl w:val="1"/>
          <w:numId w:val="2"/>
        </w:numPr>
        <w:rPr/>
      </w:pPr>
      <w:r>
        <w:rPr/>
        <w:t>Edelman PR effort update</w:t>
      </w:r>
    </w:p>
    <w:p>
      <w:pPr>
        <w:pStyle w:val="Normal"/>
        <w:numPr>
          <w:ilvl w:val="2"/>
          <w:numId w:val="2"/>
        </w:numPr>
        <w:rPr/>
      </w:pPr>
      <w:r>
        <w:rPr/>
        <w:t>March 1 launch with a pitch letter to: Sacto press corp, mainstream media writing on energy crisis.  Letter pitch: Impact to small c&amp;I customers as a result of repeal of DA, impact on future business climate if DA is not preserved, DA must be part of any solution.</w:t>
      </w:r>
    </w:p>
    <w:p>
      <w:pPr>
        <w:pStyle w:val="Normal"/>
        <w:numPr>
          <w:ilvl w:val="2"/>
          <w:numId w:val="2"/>
        </w:numPr>
        <w:rPr/>
      </w:pPr>
      <w:r>
        <w:rPr/>
        <w:t xml:space="preserve">Opeds, potential press conference, radio news shows, tv public affairs shows. </w:t>
      </w:r>
    </w:p>
    <w:p>
      <w:pPr>
        <w:pStyle w:val="Normal"/>
        <w:numPr>
          <w:ilvl w:val="0"/>
          <w:numId w:val="2"/>
        </w:numPr>
        <w:rPr/>
      </w:pPr>
      <w:r>
        <w:rPr/>
        <w:t>March 19</w:t>
      </w:r>
      <w:r>
        <w:rPr>
          <w:vertAlign w:val="superscript"/>
        </w:rPr>
        <w:t>th</w:t>
      </w:r>
      <w:r>
        <w:rPr/>
        <w:t xml:space="preserve"> report published in Bailout Watch Newsletter (Foundation for TaxPayer &amp; Consumer Rights): CA energy crisis is manufactured by “energy firms”.</w:t>
      </w:r>
    </w:p>
    <w:p>
      <w:pPr>
        <w:pStyle w:val="Normal"/>
        <w:numPr>
          <w:ilvl w:val="0"/>
          <w:numId w:val="2"/>
        </w:numPr>
        <w:rPr/>
      </w:pPr>
      <w:r>
        <w:rPr/>
        <w:t xml:space="preserve">Consumer Federation of America report asks policy makers to “rethink” the move toward electric retail competition </w:t>
      </w:r>
    </w:p>
    <w:p>
      <w:pPr>
        <w:pStyle w:val="Normal"/>
        <w:numPr>
          <w:ilvl w:val="0"/>
          <w:numId w:val="2"/>
        </w:numPr>
        <w:rPr/>
      </w:pPr>
      <w:r>
        <w:rPr/>
        <w:t xml:space="preserve">Reports being sent to everyone through email and will be available on our website. </w:t>
      </w:r>
    </w:p>
    <w:p>
      <w:pPr>
        <w:pStyle w:val="Normal"/>
        <w:numPr>
          <w:ilvl w:val="0"/>
          <w:numId w:val="2"/>
        </w:numPr>
        <w:rPr/>
      </w:pPr>
      <w:r>
        <w:rPr/>
        <w:t>State of Calif. Paying $25,000 through June to a firm (J. Bennett Johnston) to advise the state on dealing with federal regulators.</w:t>
      </w:r>
    </w:p>
    <w:p>
      <w:pPr>
        <w:pStyle w:val="Normal"/>
        <w:numPr>
          <w:ilvl w:val="0"/>
          <w:numId w:val="2"/>
        </w:numPr>
        <w:rPr/>
      </w:pPr>
      <w:r>
        <w:rPr/>
        <w:t>Calif. Business target</w:t>
      </w:r>
    </w:p>
    <w:p>
      <w:pPr>
        <w:pStyle w:val="Normal"/>
        <w:numPr>
          <w:ilvl w:val="1"/>
          <w:numId w:val="2"/>
        </w:numPr>
        <w:rPr/>
      </w:pPr>
      <w:r>
        <w:rPr/>
        <w:t>Packages mailed</w:t>
      </w:r>
    </w:p>
    <w:p>
      <w:pPr>
        <w:pStyle w:val="Normal"/>
        <w:numPr>
          <w:ilvl w:val="1"/>
          <w:numId w:val="2"/>
        </w:numPr>
        <w:rPr/>
      </w:pPr>
      <w:r>
        <w:rPr/>
        <w:t>Email to enron with materials</w:t>
      </w:r>
    </w:p>
    <w:p>
      <w:pPr>
        <w:pStyle w:val="Normal"/>
        <w:numPr>
          <w:ilvl w:val="1"/>
          <w:numId w:val="2"/>
        </w:numPr>
        <w:rPr/>
      </w:pPr>
      <w:r>
        <w:rPr/>
        <w:t>Sun Microsystems is no longer an EES customer</w:t>
      </w:r>
    </w:p>
    <w:p>
      <w:pPr>
        <w:pStyle w:val="Normal"/>
        <w:numPr>
          <w:ilvl w:val="0"/>
          <w:numId w:val="2"/>
        </w:numPr>
        <w:rPr/>
      </w:pPr>
      <w:r>
        <w:rPr/>
        <w:t>From the Prometheus File</w:t>
      </w:r>
    </w:p>
    <w:p>
      <w:pPr>
        <w:pStyle w:val="Normal"/>
        <w:numPr>
          <w:ilvl w:val="1"/>
          <w:numId w:val="2"/>
        </w:numPr>
        <w:rPr/>
      </w:pPr>
      <w:r>
        <w:rPr/>
        <w:t xml:space="preserve">The Lights Are Dimming in California </w:t>
      </w:r>
      <w:r>
        <w:rPr>
          <w:i/>
          <w:iCs/>
        </w:rPr>
        <w:t>“The key question that politicians dare not answer:  Who is going to pay?  Politicians and regulators have become very good at promulgating orders, but rather lax in determining financial responsibility.  The taxpayers/ratepayers will continue to suffer.</w:t>
      </w:r>
      <w:r>
        <w:rPr/>
        <w:t>”</w:t>
      </w:r>
    </w:p>
    <w:p>
      <w:pPr>
        <w:pStyle w:val="Normal"/>
        <w:numPr>
          <w:ilvl w:val="1"/>
          <w:numId w:val="2"/>
        </w:numPr>
        <w:rPr/>
      </w:pPr>
      <w:r>
        <w:rPr/>
        <w:t>California Power Suppliers Get Rebuked</w:t>
      </w:r>
      <w:r>
        <w:rPr>
          <w:i/>
          <w:iCs/>
        </w:rPr>
        <w:t xml:space="preserve"> </w:t>
      </w:r>
      <w:r>
        <w:rPr/>
        <w:t xml:space="preserve"> - </w:t>
      </w:r>
      <w:r>
        <w:rPr>
          <w:i/>
          <w:iCs/>
        </w:rPr>
        <w:t>“This sounds like something out of Russia – a government-controlled enterprise gets behind on paying its power bills, the power company then has no money to pay the coal mines, the coal mines have no money to pay its workers in Siberia and the Siberian workers starve because they have no money for food.  Californians mayfind it easier to move to another state rather than risk starvation, but what is happening now in California is how problems like those described in Russia’s vicious cycle unfold.”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2001-03-20T15:31:00Z</dcterms:created>
  <dc:creator>jguerre</dc:creator>
  <dc:description/>
  <dc:language>en-CA</dc:language>
  <cp:lastModifiedBy>jguerre</cp:lastModifiedBy>
  <cp:lastPrinted>2001-03-20T12:40:00Z</cp:lastPrinted>
  <dcterms:modified xsi:type="dcterms:W3CDTF">2001-03-20T16:17:00Z</dcterms:modified>
  <cp:revision>7</cp:revision>
  <dc:subject/>
  <dc:title>War Room Agenda</dc:title>
</cp:coreProperties>
</file>