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22"/>
              </w:rPr>
            </w:pPr>
            <w:r>
              <w:rPr>
                <w:rFonts w:cs="Times New Roman" w:ascii="Times New Roman" w:hAnsi="Times New Roman"/>
                <w:sz w:val="22"/>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and </w:t>
            </w:r>
            <w:r>
              <w:rPr>
                <w:b/>
                <w:sz w:val="16"/>
              </w:rPr>
              <w:t>WAL-MART STORES, INC.</w:t>
            </w:r>
            <w:r>
              <w:rPr>
                <w:sz w:val="16"/>
              </w:rPr>
              <w:t>, a _________ corporation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June 2001 (the "</w:t>
            </w:r>
            <w:r>
              <w:rPr>
                <w:sz w:val="16"/>
                <w:u w:val="single"/>
              </w:rPr>
              <w:t>Effective Date</w:t>
            </w:r>
            <w:r>
              <w:rPr>
                <w:sz w:val="16"/>
              </w:rPr>
              <w:t>").  This Master Agreement, together with the exhibits, schedules or other properly executed supplements and any and all Confirmations and Transactions is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sales and/or other energy related services as specified in each Confirmation for your locations (each a "</w:t>
      </w:r>
      <w:r>
        <w:rPr>
          <w:sz w:val="16"/>
          <w:u w:val="single"/>
        </w:rPr>
        <w:t>Facility</w:t>
      </w:r>
      <w:r>
        <w:rPr>
          <w:sz w:val="16"/>
        </w:rPr>
        <w:t>" and collectively the "</w:t>
      </w:r>
      <w:r>
        <w:rPr>
          <w:sz w:val="16"/>
          <w:u w:val="single"/>
        </w:rPr>
        <w:t>Facilities</w:t>
      </w:r>
      <w:r>
        <w:rPr>
          <w:sz w:val="16"/>
        </w:rPr>
        <w:t xml:space="preserve">") and Accounts indicated thereon in accordance with the terms and conditions of this Agreement and the requirements of applicable Law and Rules.  With respect to each Transaction, you agree to obtain your full energy requirements for all applicable Accounts exclusively through this Agreement for the duration of the applicable Transaction Term.  </w:t>
      </w:r>
    </w:p>
    <w:p>
      <w:pPr>
        <w:pStyle w:val="Normal"/>
        <w:widowControl w:val="false"/>
        <w:spacing w:before="0" w:after="120"/>
        <w:ind w:firstLine="418" w:start="14" w:end="0"/>
        <w:jc w:val="both"/>
        <w:rPr/>
      </w:pPr>
      <w:r>
        <w:rPr>
          <w:b/>
          <w:sz w:val="16"/>
        </w:rPr>
        <w:tab/>
        <w:t>1.2</w:t>
        <w:tab/>
      </w:r>
      <w:r>
        <w:rPr>
          <w:b/>
          <w:sz w:val="16"/>
          <w:u w:val="single"/>
        </w:rPr>
        <w:t>Term</w:t>
      </w:r>
      <w:r>
        <w:rPr>
          <w:b/>
          <w:sz w:val="16"/>
        </w:rPr>
        <w:t xml:space="preserve">.  </w:t>
      </w:r>
      <w:r>
        <w:rPr>
          <w:sz w:val="16"/>
        </w:rPr>
        <w:t xml:space="preserve">The term of this Master Agreement will commence on the Effective Date and will remain in effect until  terminated by either of us upon 30 days' prior written notice, except that (a) any such termination shall not affect or excuse the performance of either of us under any provision of this Master Agreement that by its terms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terminated under this Agreement.  </w:t>
      </w:r>
    </w:p>
    <w:p>
      <w:pPr>
        <w:pStyle w:val="Normal"/>
        <w:widowControl w:val="false"/>
        <w:spacing w:before="0" w:after="120"/>
        <w:ind w:firstLine="418" w:start="14" w:end="0"/>
        <w:jc w:val="both"/>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Each Confirmation must, at a minimum, specify the applicable (i) Accounts and Facilities, (ii) Transaction Term, (iii) energy price (the "</w:t>
      </w:r>
      <w:r>
        <w:rPr>
          <w:sz w:val="16"/>
          <w:u w:val="single"/>
        </w:rPr>
        <w:t>EESI Energy Price</w:t>
      </w:r>
      <w:r>
        <w:rPr>
          <w:sz w:val="16"/>
        </w:rPr>
        <w:t>") and related provisions, (iv</w:t>
      </w:r>
      <w:r>
        <w:rPr>
          <w:b/>
          <w:sz w:val="16"/>
        </w:rPr>
        <w:t>) [credit requirements in addition to those set forth in this Master Agreement]</w:t>
      </w:r>
      <w:r>
        <w:rPr>
          <w:sz w:val="16"/>
        </w:rPr>
        <w:t xml:space="preserve"> and (v) any other special terms and conditions.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on and as of the Utility Transfer Dates specified on the applicable Confirmation.  With respect to each Transaction, we will use commercially reasonable efforts to cause each Utility to transfer your service to us at the beginning of the Transaction and back to the Utility (or another provider) at the end of the Transaction as of the dates specified on the applicable Confirmation, but we will not be responsible for any delays resulting from Utility inaction, and the applicable Transaction Term will not commence until such service has been properly transferred by the Utility and will not be extended if such transfer occurs after the specified commencement date.</w:t>
      </w:r>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Each Confirmation may set forth Minimum Usage and Maximum Usage parameters applicable to the Transaction.  If the specified Actual Usage is greater than the specified Maximum Usage ("</w:t>
      </w:r>
      <w:r>
        <w:rPr>
          <w:sz w:val="16"/>
          <w:u w:val="single"/>
        </w:rPr>
        <w:t>Excess Usage</w:t>
      </w:r>
      <w:r>
        <w:rPr>
          <w:sz w:val="16"/>
        </w:rPr>
        <w:t>") or less than the specified Minimum Usage ("</w:t>
      </w:r>
      <w:r>
        <w:rPr>
          <w:sz w:val="16"/>
          <w:u w:val="single"/>
        </w:rPr>
        <w:t>Deficiency Usage</w:t>
      </w:r>
      <w:r>
        <w:rPr>
          <w:sz w:val="16"/>
        </w:rPr>
        <w:t xml:space="preserve">") the price paid under the applicable Transaction will be subject to an adjustment for such Excess or Deficiency Usage as set forth in the applicable Confirmation..  </w:t>
      </w:r>
    </w:p>
    <w:p>
      <w:pPr>
        <w:pStyle w:val="Normal"/>
        <w:widowControl w:val="false"/>
        <w:spacing w:before="0" w:after="120"/>
        <w:ind w:start="14" w:end="0"/>
        <w:jc w:val="both"/>
        <w:rPr/>
      </w:pPr>
      <w:r>
        <w:rPr>
          <w:b/>
          <w:color w:val="000000"/>
          <w:sz w:val="16"/>
        </w:rPr>
        <w:t>1.5</w:t>
        <w:tab/>
      </w:r>
      <w:r>
        <w:rPr>
          <w:b/>
          <w:color w:val="000000"/>
          <w:sz w:val="16"/>
          <w:u w:val="single"/>
        </w:rPr>
        <w:t>Utility Invoice Payment</w:t>
      </w:r>
      <w:r>
        <w:rPr>
          <w:b/>
          <w:color w:val="000000"/>
          <w:sz w:val="16"/>
        </w:rPr>
        <w:t xml:space="preserve">.    .  </w:t>
      </w:r>
      <w:r>
        <w:rPr>
          <w:color w:val="000000"/>
          <w:sz w:val="16"/>
        </w:rPr>
        <w:t>If "</w:t>
      </w:r>
      <w:r>
        <w:rPr>
          <w:color w:val="000000"/>
          <w:sz w:val="16"/>
          <w:u w:val="single"/>
        </w:rPr>
        <w:t>Utility Invoice Payment</w:t>
      </w:r>
      <w:r>
        <w:rPr>
          <w:color w:val="000000"/>
          <w:sz w:val="16"/>
        </w:rPr>
        <w:t>" is specified on a Confirmation, w</w:t>
      </w:r>
      <w:r>
        <w:rPr>
          <w:sz w:val="16"/>
        </w:rPr>
        <w:t>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Further, unless otherwise expressly stated in a Confirmation, we will be entitled to retain any and all credits, refunds, rebates, or other similar adjustments ("</w:t>
      </w:r>
      <w:r>
        <w:rPr>
          <w:sz w:val="16"/>
          <w:u w:val="single"/>
        </w:rPr>
        <w:t>Utility Invoice Credits</w:t>
      </w:r>
      <w:r>
        <w:rPr>
          <w:sz w:val="16"/>
        </w:rPr>
        <w:t>") due to you or us from any source arising from any services provided to you by a Utility or us during a Transaction Term, including, without limitation, Utility Invoice Credits on account of T&amp;D Charges, "green" power, a Utility's rate of return or any other items of a similar nature, but not with respect to Special Utility Charges.</w:t>
      </w:r>
    </w:p>
    <w:p>
      <w:pPr>
        <w:pStyle w:val="Normal"/>
        <w:widowControl w:val="false"/>
        <w:spacing w:before="0" w:after="120"/>
        <w:ind w:start="14" w:end="0"/>
        <w:jc w:val="both"/>
        <w:rPr/>
      </w:pPr>
      <w:r>
        <w:rPr>
          <w:b/>
          <w:sz w:val="16"/>
        </w:rPr>
        <w:tab/>
        <w:t>1.6</w:t>
        <w:tab/>
      </w:r>
      <w:r>
        <w:rPr>
          <w:b/>
          <w:sz w:val="16"/>
          <w:u w:val="single"/>
        </w:rPr>
        <w:t>Energy Supply Options</w:t>
      </w:r>
      <w:r>
        <w:rPr>
          <w:b/>
          <w:sz w:val="16"/>
        </w:rPr>
        <w:t xml:space="preserve">.  </w:t>
      </w:r>
      <w:r>
        <w:rPr>
          <w:sz w:val="16"/>
        </w:rPr>
        <w:t>For each Transaction and each Account, we will 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will also have the right to modify the rate, service class, tariff, or Billing Cycle under which any Account receives service from the applicable Utility, but we will not switch any Account to an interruptible rate class without your prior approval.  Except as set forth in a Confirmation, we will pay any fees imposed by a Utility on account of these changes, and no such changes will affect the price you pay for your energy under this Agreement.</w:t>
      </w:r>
    </w:p>
    <w:p>
      <w:pPr>
        <w:pStyle w:val="Normal"/>
        <w:widowControl w:val="false"/>
        <w:numPr>
          <w:ilvl w:val="0"/>
          <w:numId w:val="0"/>
        </w:numPr>
        <w:spacing w:before="0" w:after="120"/>
        <w:jc w:val="both"/>
        <w:outlineLvl w:val="0"/>
        <w:rPr>
          <w:b/>
          <w:sz w:val="16"/>
        </w:rPr>
      </w:pPr>
      <w:r>
        <w:rPr>
          <w:b/>
          <w:sz w:val="16"/>
        </w:rPr>
        <w:tab/>
        <w:t>1.7</w:t>
        <w:tab/>
      </w:r>
      <w:r>
        <w:rPr>
          <w:b/>
          <w:sz w:val="16"/>
          <w:u w:val="single"/>
        </w:rPr>
        <w:t>Voluntary Curtailment</w:t>
      </w:r>
      <w:r>
        <w:rPr>
          <w:b/>
          <w:sz w:val="16"/>
        </w:rPr>
        <w:t xml:space="preserve">.  </w:t>
      </w:r>
      <w:r>
        <w:rPr>
          <w:sz w:val="16"/>
        </w:rPr>
        <w:t xml:space="preserve">We may request from time to time that you voluntarily curtail your energy consumption at certain Accounts in exchange for a portion of any payment(s) which may be available in consideration of such curtailment.  If you agree to do so, the terms and conditions thereof shall be set forth in a separate Confirmation as a Transaction hereunder. </w:t>
      </w:r>
    </w:p>
    <w:p>
      <w:pPr>
        <w:pStyle w:val="Normal"/>
        <w:widowControl w:val="false"/>
        <w:spacing w:before="0" w:after="120"/>
        <w:ind w:start="14" w:end="0"/>
        <w:jc w:val="both"/>
        <w:rPr/>
      </w:pPr>
      <w:r>
        <w:rPr>
          <w:b/>
          <w:sz w:val="16"/>
        </w:rPr>
        <w:tab/>
        <w:t>1.8</w:t>
        <w:tab/>
      </w:r>
      <w:r>
        <w:rPr>
          <w:b/>
          <w:sz w:val="16"/>
          <w:u w:val="single"/>
        </w:rPr>
        <w:t>Metering Services</w:t>
      </w:r>
      <w:r>
        <w:rPr>
          <w:b/>
          <w:sz w:val="16"/>
        </w:rPr>
        <w:t xml:space="preserve">.  </w:t>
      </w:r>
      <w:r>
        <w:rPr>
          <w:sz w:val="16"/>
        </w:rPr>
        <w:t>If any Confirmation specifies the provision of metering services, we will provide such services in accordance with the terms set forth on such Confirmation; otherwise no such services will be provided.  Where metering services are provided pursuant to a Transaction, the Parties will cooperate to effect the installation of the provided meters in the applicable Facilities.</w:t>
      </w:r>
    </w:p>
    <w:p>
      <w:pPr>
        <w:pStyle w:val="Normal"/>
        <w:widowControl w:val="false"/>
        <w:ind w:start="18" w:end="0"/>
        <w:jc w:val="both"/>
        <w:rPr/>
      </w:pPr>
      <w:r>
        <w:rPr>
          <w:sz w:val="16"/>
        </w:rPr>
        <w:tab/>
      </w:r>
      <w:r>
        <w:rPr>
          <w:b/>
          <w:sz w:val="16"/>
        </w:rPr>
        <w:t>1.9</w:t>
        <w:tab/>
        <w:t>[</w:t>
      </w:r>
      <w:r>
        <w:rPr>
          <w:b/>
          <w:sz w:val="16"/>
          <w:u w:val="single"/>
        </w:rPr>
        <w:t>Additions and Deletions of Facilities</w:t>
      </w:r>
      <w:r>
        <w:rPr>
          <w:b/>
          <w:sz w:val="16"/>
        </w:rPr>
        <w:t xml:space="preserve">.  Except as set forth in </w:t>
      </w:r>
      <w:r>
        <w:rPr>
          <w:b/>
          <w:sz w:val="16"/>
          <w:u w:val="single"/>
        </w:rPr>
        <w:t>Section 1.10</w:t>
      </w:r>
      <w:r>
        <w:rPr>
          <w:b/>
          <w:sz w:val="16"/>
        </w:rPr>
        <w:t xml:space="preserve">, additional facilities owned or operated by you may be added to this Agreement only upon the mutual agreement of you and us by execution of a new Confirmation or an amendment to an existing Confirmation.  If you sell or close a Facility that is the subject of a Transaction, you  may delete that Facility from this Agreement upon 60 days prior written notice to us; provided that, subject to </w:t>
      </w:r>
      <w:r>
        <w:rPr>
          <w:b/>
          <w:sz w:val="16"/>
          <w:u w:val="single"/>
        </w:rPr>
        <w:t>Section 1.10</w:t>
      </w:r>
      <w:r>
        <w:rPr>
          <w:b/>
          <w:sz w:val="16"/>
        </w:rPr>
        <w:t xml:space="preserve">, you will pay us an Early Termination Payment calculated for the removed Facility in accordance with the methodology set forth in </w:t>
      </w:r>
      <w:r>
        <w:rPr>
          <w:b/>
          <w:sz w:val="16"/>
          <w:u w:val="single"/>
        </w:rPr>
        <w:t>Section 3.3</w:t>
      </w:r>
      <w:r>
        <w:rPr>
          <w:b/>
          <w:sz w:val="16"/>
        </w:rPr>
        <w:t>.]</w:t>
      </w:r>
    </w:p>
    <w:p>
      <w:pPr>
        <w:pStyle w:val="Normal"/>
        <w:widowControl w:val="false"/>
        <w:ind w:start="18" w:end="0"/>
        <w:jc w:val="both"/>
        <w:rPr>
          <w:b/>
          <w:sz w:val="16"/>
        </w:rPr>
      </w:pPr>
      <w:r>
        <w:rPr>
          <w:b/>
          <w:sz w:val="16"/>
        </w:rPr>
      </w:r>
    </w:p>
    <w:p>
      <w:pPr>
        <w:pStyle w:val="Normal"/>
        <w:widowControl w:val="false"/>
        <w:ind w:start="18" w:end="0"/>
        <w:jc w:val="both"/>
        <w:rPr>
          <w:b/>
          <w:sz w:val="16"/>
        </w:rPr>
      </w:pPr>
      <w:r>
        <w:rPr>
          <w:sz w:val="16"/>
        </w:rPr>
        <w:tab/>
      </w:r>
      <w:r>
        <w:rPr>
          <w:b/>
          <w:sz w:val="16"/>
        </w:rPr>
        <w:t>1.10</w:t>
        <w:tab/>
        <w:t>[</w:t>
      </w:r>
      <w:r>
        <w:rPr>
          <w:b/>
          <w:sz w:val="16"/>
          <w:u w:val="single"/>
        </w:rPr>
        <w:t>Substitution of Facilities</w:t>
      </w:r>
      <w:r>
        <w:rPr>
          <w:b/>
          <w:sz w:val="16"/>
        </w:rPr>
        <w:t xml:space="preserve">.  </w:t>
      </w:r>
      <w:r>
        <w:rPr>
          <w:rFonts w:cs="Tms Rmn;Times New Roman" w:ascii="Tms Rmn;Times New Roman" w:hAnsi="Tms Rmn;Times New Roman"/>
          <w:b/>
          <w:color w:val="000000"/>
          <w:sz w:val="16"/>
          <w:lang w:eastAsia="en-US"/>
        </w:rPr>
        <w:t>In the event that you sell or otherwise dispose of any of Facilities that is the subject of a Transaction, you  may, upon satisfaction of all of the conditions set forth below, substitute another facility owned and operated by you (a “</w:t>
      </w:r>
      <w:r>
        <w:rPr>
          <w:rFonts w:cs="Tms Rmn;Times New Roman" w:ascii="Tms Rmn;Times New Roman" w:hAnsi="Tms Rmn;Times New Roman"/>
          <w:b/>
          <w:color w:val="000000"/>
          <w:sz w:val="16"/>
          <w:u w:val="single"/>
          <w:lang w:eastAsia="en-US"/>
        </w:rPr>
        <w:t>Substituted Facility</w:t>
      </w:r>
      <w:r>
        <w:rPr>
          <w:rFonts w:cs="Tms Rmn;Times New Roman" w:ascii="Tms Rmn;Times New Roman" w:hAnsi="Tms Rmn;Times New Roman"/>
          <w:b/>
          <w:color w:val="000000"/>
          <w:sz w:val="16"/>
          <w:lang w:eastAsia="en-US"/>
        </w:rPr>
        <w:t>”) to offset the effect of such deletion. You will provide us with not less than thirty (30) days prior written notice of your intent to delete a Facility and substitute another facility for the deleted Facility, including in such notice the identity of the Facility to be deleted and information about the proposed Substituted Facility to be added that will allow us to verify the existence of the conditions set forth in herein.  We will notify you within thirty (30) days of receipt of such notice whether we agree that the proposed Substituted Facility meets all of the conditions set forth herein.  If we agree that the proposed Substituted Facility meets all of such conditions, we will provide you with documentation reflecting such deletion and addition, and the term “Facility(ies)” as used in the applicable Confirmation shall include the Facilities then listed on the applicable Confirmation so revised.  A facility will be eligible to be a Substituted Facility as long as all of the following conditions are met: (a) it will be added to this Agreement during the same month tha</w:t>
      </w:r>
      <w:r>
        <w:rPr>
          <w:b/>
          <w:color w:val="000000"/>
          <w:sz w:val="16"/>
          <w:lang w:eastAsia="en-US"/>
        </w:rPr>
        <w:t xml:space="preserve">t the Facility that it is replacing is deleted from this Agreement; (b) it is served by the same Utility under the same Utility rate class as the deleted Facility; (c) it is owned and operated by you and used by you for the same general type of business as the deleted Facility; and (d) the Substituted Facility will have substantially the same Consumption Profile as the deleted Facility.   The addition of a Substituted Facility to this Agreement pursuant to this </w:t>
      </w:r>
      <w:r>
        <w:rPr>
          <w:b/>
          <w:color w:val="000000"/>
          <w:sz w:val="16"/>
          <w:u w:val="single"/>
          <w:lang w:eastAsia="en-US"/>
        </w:rPr>
        <w:t>Section 1.10</w:t>
      </w:r>
      <w:r>
        <w:rPr>
          <w:b/>
          <w:color w:val="000000"/>
          <w:sz w:val="16"/>
          <w:lang w:eastAsia="en-US"/>
        </w:rPr>
        <w:t xml:space="preserve"> shall not affect your responsibility to compensate us with respect to any Exces</w:t>
      </w:r>
      <w:r>
        <w:rPr>
          <w:rFonts w:cs="Tms Rmn;Times New Roman" w:ascii="Tms Rmn;Times New Roman" w:hAnsi="Tms Rmn;Times New Roman"/>
          <w:b/>
          <w:color w:val="000000"/>
          <w:sz w:val="16"/>
          <w:lang w:eastAsia="en-US"/>
        </w:rPr>
        <w:t>s Usage or Deficiency Usage as provided in the applicable Confirmation.  Further, the Anticipated Usage and the Minimum Usage and Maximum Usage requirements for the  Substituted Facility shall be the same as those for deleted Facility.]</w:t>
      </w:r>
    </w:p>
    <w:p>
      <w:pPr>
        <w:pStyle w:val="Normal"/>
        <w:widowControl w:val="false"/>
        <w:ind w:start="18" w:end="0"/>
        <w:jc w:val="both"/>
        <w:rPr>
          <w:b/>
          <w:sz w:val="16"/>
        </w:rPr>
      </w:pPr>
      <w:r>
        <w:rPr>
          <w:b/>
          <w:sz w:val="16"/>
        </w:rPr>
      </w:r>
    </w:p>
    <w:p>
      <w:pPr>
        <w:pStyle w:val="Normal"/>
        <w:widowControl w:val="false"/>
        <w:ind w:start="18" w:end="0"/>
        <w:jc w:val="both"/>
        <w:rPr>
          <w:sz w:val="16"/>
        </w:rPr>
      </w:pPr>
      <w:r>
        <w:rPr>
          <w:b/>
          <w:sz w:val="16"/>
        </w:rPr>
        <w:tab/>
      </w:r>
    </w:p>
    <w:p>
      <w:pPr>
        <w:pStyle w:val="Normal"/>
        <w:widowControl w:val="false"/>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Utility Invoices for a mutually agreed 12 month period within 10 days after your execution of the applicable Confirmation;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that may be required by a Utility in connection with the implementation of this Agreement, including with respect to electronic data exchange and other similar matters;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 xml:space="preserve">You hereby appoint us as your limited agent with respect to actions required to effectively implement this Agreement and authorize us to: (i) obtain information from each Utility with respect to your billing and credit history, usage, load shape, and other similar data; (ii) act as your Competitive Supplier and exercise our rights under </w:t>
      </w:r>
      <w:r>
        <w:rPr>
          <w:rFonts w:cs="Times New Roman" w:ascii="Times New Roman" w:hAnsi="Times New Roman"/>
          <w:u w:val="single"/>
        </w:rPr>
        <w:t>Section 1.6</w:t>
      </w:r>
      <w:r>
        <w:rPr>
          <w:rFonts w:cs="Times New Roman" w:ascii="Times New Roman" w:hAnsi="Times New Roman"/>
        </w:rPr>
        <w:t>; (iii) pay your Utility Invoices and negotiate correction of billing errors or similar items affecting Utility Invoices; (iv) notify the applicable Utilities of termination and resumption of service at affected Accounts and the dates thereof in connection with changes in an Account's source of energy supply and upon the commencement and termination of services under this Agreement; and (v) take all reasonable actions in your name and on your behalf as we deem necessary to effectively implement this Agreement, upon your prior written consent on a case by case basis, which consent shall not be unreasonably withheld.  You will cooperate with us to notify each Utility of this designation, including execution of documentation evidencing such limited agency in such form as we may reasonably request.  You agree not to engage in any of the activities  for which we are our limited agent  without our prior written consent.  Our responsibility as your limited agent under this Agreement is limited to the subject matter of this Agreement and those tasks appropriate to provide the services hereunder and does not create or result in the imposition on us of, and YOU HEREBY WAIVE, ANY OTHER DUTIES OF ANY KIND OR NATURE, INCLUDING FIDUCIARY DUTIES WHICH MAY OTHERWISE ARISE BY OPERATION OF LAW..</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provided that such transfer of title and risk of loss shall be between you and us and shall not be deemed to be determinative of the possession of title and risk of loss as it may relate to any claim between you and a third Person.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t>2.7</w:t>
        <w:tab/>
      </w:r>
      <w:r>
        <w:rPr>
          <w:b/>
          <w:sz w:val="16"/>
          <w:u w:val="single"/>
        </w:rPr>
        <w:t>Utility Non-Performance</w:t>
      </w:r>
      <w:r>
        <w:rPr>
          <w:sz w:val="16"/>
        </w:rPr>
        <w:t xml:space="preserve">.  You agree that our performance under this Agreement is in certain fundamental 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Master Agreement) upon at least 30 days prior written notice to you.  In the case of a termination under this </w:t>
      </w:r>
      <w:r>
        <w:rPr>
          <w:sz w:val="16"/>
          <w:u w:val="single"/>
        </w:rPr>
        <w:t>Section 2.7</w:t>
      </w:r>
      <w:r>
        <w:rPr>
          <w:sz w:val="16"/>
        </w:rPr>
        <w:t xml:space="preserve">,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Any termination under this section will be effective at 24:00:00, Local Time, on the applicable Utility Transfer Date.</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r>
        <w:rPr>
          <w:sz w:val="16"/>
        </w:rPr>
        <w:t xml:space="preserve">We will send you (by regular mail, email, electronic data transfer or other mutually acceptable means) to the address specified in the applicable Confirmation an invoice for each Billing Cycle during each Transaction Term detailing all of the charges due to or from us with respect to each Account and Taxes.  Invoices are deemed received by you on the date sent or transmitted, unless after close of business, in which case they are deemed received on the next Business Day, except for invoices sent by regular mail, which are deemed received on the third Business Day after mailing.  We will calculate all amounts due to or from us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that are unpaid as of the date which is 10 days thereafter the amount due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sz w:val="16"/>
          <w:ins w:id="0" w:author="EES EMPLOYEE" w:date="2001-06-07T08:28:00Z"/>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the transactions contemplated by this Agreement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As of the end of each Transaction Term, (i) all charges for electric services or sales under such Transaction will be paid as and when due, and (ii) any other amounts owing from one Party to the other under such Transaction will be paid within 60 days. We will have no liability for any impacts upon you of the Billing Cycle, rate, tariff or classification with a Utility of any Account which may exist as of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herein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(v) the failure of such Party to post collateral when and as may be required by this Agreement or a Confirmation; (vi) such Party consolidates or amalgamates with, or merges with or into, or transfers all or substantially all of its assets to, another Person and, at the time of such consolidation, amalgamation, merger or transfer, the resulting, surviving or transferee Person either fails to assume all of the obligations of such Party under this Agreement to which it or its predecessor was a party by operation of Law or pursuant to an agreement reasonably satisfactory to the Non-Defaulting Party or fails to post collateral when and as may be required by this Agreement or a Confirmation; (viii) a Ratings Event with respect to Customer; or (viii) any other event affecting such Party specified as an Event of Default in a Confirmation.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this Agreement and/or the affected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EESI Energy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each Transaction, determined by comparing the Contract Value to the Market Value; and (iii) "</w:t>
      </w:r>
      <w:r>
        <w:rPr>
          <w:sz w:val="16"/>
          <w:u w:val="single"/>
        </w:rPr>
        <w:t>Costs</w:t>
      </w:r>
      <w:r>
        <w:rPr>
          <w:sz w:val="16"/>
        </w:rPr>
        <w:t>" will mean brokerage fees, commissions and other similar transaction costs and expenses reasonably incurred by the Non-Defaulting Party either in terminating any arrangement pursuant to which it has hedged its obligations or entering into new arrangements which replace each Transaction, and attorneys' fees, if any, incurred in connection with enforcing its rights under this Agreement.  An annual [__]% over the then current rate [yield] on the [30 year] U.S. Treasury bond.will be used to calculate present value under this provision.  The Non-Defaulting Party will aggregate all of its Gains, Losses and Costs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u w:val="single"/>
        </w:rPr>
        <w:t>Early Termination Payment</w:t>
      </w:r>
      <w:r>
        <w:rPr>
          <w:sz w:val="16"/>
        </w:rPr>
        <w:t xml:space="preserve">").  If such calculation results in a net Loss to the Non-Defaulting Party, the Defaulting Party shall owe that amount to the Non-Defaulting Party, and if such calculation results in a net Gain to the Non-Defaulting Party, no payment shall be owed by either Party.  Each Party has the obligation to mitigate the damages it may sustain as result of an Event of Default on the part of the other Party hereunder. </w:t>
      </w:r>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Normal"/>
        <w:widowControl w:val="false"/>
        <w:spacing w:before="120" w:after="0"/>
        <w:jc w:val="both"/>
        <w:rPr>
          <w:b/>
          <w:sz w:val="16"/>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The notice shall include a written statement explaining in reasonable detail the calculation of such amount.  Subject to </w:t>
      </w:r>
      <w:r>
        <w:rPr>
          <w:sz w:val="16"/>
          <w:u w:val="single"/>
        </w:rPr>
        <w:t>Section 3.6</w:t>
      </w:r>
      <w:r>
        <w:rPr>
          <w:sz w:val="16"/>
        </w:rPr>
        <w:t>, the Early Termination Payment shall be made by the Defaulting Party to the Non-Defaulting Party within two (2) Business Days after such notice is effective.  Early Termination Payments not paid as and when due shall accrue interest at the Interest Rate from such date until the date paid.</w:t>
      </w:r>
    </w:p>
    <w:p>
      <w:pPr>
        <w:pStyle w:val="Outline2"/>
        <w:widowControl w:val="false"/>
        <w:spacing w:before="120" w:after="0"/>
        <w:jc w:val="both"/>
        <w:rPr/>
      </w:pPr>
      <w:r>
        <w:rPr>
          <w:b/>
          <w:sz w:val="16"/>
        </w:rPr>
        <w:tab/>
        <w:t>3.6</w:t>
        <w:tab/>
      </w:r>
      <w:r>
        <w:rPr>
          <w:b/>
          <w:sz w:val="16"/>
          <w:u w:val="single"/>
        </w:rPr>
        <w:t>Setoff</w:t>
      </w:r>
      <w:r>
        <w:rPr>
          <w:b/>
          <w:sz w:val="16"/>
        </w:rPr>
        <w:t xml:space="preserve">. </w:t>
      </w:r>
      <w:r>
        <w:rPr>
          <w:sz w:val="16"/>
        </w:rPr>
        <w:t xml:space="preserve">  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Nothing in this </w:t>
      </w:r>
      <w:r>
        <w:rPr>
          <w:sz w:val="16"/>
          <w:u w:val="single"/>
        </w:rPr>
        <w:t>Section 3.6</w:t>
      </w:r>
      <w:r>
        <w:rPr>
          <w:sz w:val="16"/>
        </w:rPr>
        <w:t xml:space="preserve">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Agreement, the Non-Defaulting Party shall not be required to pay to the Defaulting Party any amount under </w:t>
      </w:r>
      <w:r>
        <w:rPr>
          <w:sz w:val="16"/>
          <w:u w:val="single"/>
        </w:rPr>
        <w:t>Section 3.5</w:t>
      </w:r>
      <w:r>
        <w:rPr>
          <w:sz w:val="16"/>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Outline2"/>
        <w:widowControl w:val="false"/>
        <w:spacing w:before="120" w:after="0"/>
        <w:ind w:firstLine="720" w:end="0"/>
        <w:jc w:val="both"/>
        <w:rPr>
          <w:b/>
          <w:sz w:val="16"/>
        </w:rPr>
      </w:pPr>
      <w:r>
        <w:rPr>
          <w:b/>
          <w:sz w:val="16"/>
        </w:rPr>
        <w:t>3.7</w:t>
        <w:tab/>
      </w:r>
      <w:r>
        <w:rPr>
          <w:b/>
          <w:sz w:val="16"/>
          <w:u w:val="single"/>
        </w:rPr>
        <w:t>Security</w:t>
      </w:r>
      <w:r>
        <w:rPr>
          <w:sz w:val="16"/>
        </w:rPr>
        <w:t>.   To secure its obligations under this Agreement and to the extent either or both Parties deliver collateral hereunder, each Party (a "</w:t>
      </w:r>
      <w:r>
        <w:rPr>
          <w:sz w:val="16"/>
          <w:u w:val="single"/>
        </w:rPr>
        <w:t>Pledgor</w:t>
      </w:r>
      <w:r>
        <w:rPr>
          <w:sz w:val="16"/>
        </w:rPr>
        <w:t>") hereby grants to the other Party (the "</w:t>
      </w:r>
      <w:r>
        <w:rPr>
          <w:sz w:val="16"/>
          <w:u w:val="single"/>
        </w:rPr>
        <w:t>Secured Party</w:t>
      </w:r>
      <w:r>
        <w:rPr>
          <w:sz w:val="16"/>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 </w:t>
      </w:r>
    </w:p>
    <w:p>
      <w:pPr>
        <w:pStyle w:val="Outline2"/>
        <w:widowControl w:val="false"/>
        <w:spacing w:before="120" w:after="0"/>
        <w:jc w:val="both"/>
        <w:rPr/>
      </w:pPr>
      <w:r>
        <w:rPr>
          <w:b/>
          <w:sz w:val="16"/>
        </w:rPr>
        <w:tab/>
        <w:t>3.8</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this Agreement  will constitute a "forward contract"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If applicable Law or Rules are amended, modified, nullified, suspended, repealed, found unconstitutional or unlawful, or changed or affected in any respect by any Law or Rule of any Governmental Authority after the Effective Date (a “</w:t>
      </w:r>
      <w:r>
        <w:rPr>
          <w:sz w:val="16"/>
          <w:u w:val="single"/>
        </w:rPr>
        <w:t>Change in Law</w:t>
      </w:r>
      <w:r>
        <w:rPr>
          <w:sz w:val="16"/>
        </w:rPr>
        <w:t xml:space="preserve">”), and such event (i) has, or would be reasonably likely to have, a material adverse effect upon our ability to perform our obligations under one or more Transactions and/or this Agreement as a whole, (ii) fundamentally alters one or more of the material economic or legal assumptions upon which we reasonably relied in entering into one or more Transactions and/or this Agreement; (iii) renders, or would be reasonably likely to render, the performance of our obligations under one or more Transactions or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our Affiliate to regulation as a public utility, then we will provide you with written notice of such Change in Law and, no sooner than the date that is 30 days after such notice, we may elect to terminate each Transaction affected by such change (but no other Transactions, unless such change affects this Agreement as a whole, in which case we may terminate all Transactions  and this Agreement), such termination to be effective no sooner than 30 days after such election.  In the case of a termination as result of a Change in Law,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unless otherwise specified in a Confirmation,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unless otherwise specified in a Confirmation, the anticipated energy usage (in kWh) by each Account during each Billing Cycle, which shall be equal to the actual amount of energy (in kWh) used by each such Account </w:t>
      </w:r>
      <w:r>
        <w:rPr>
          <w:sz w:val="16"/>
        </w:rPr>
        <w:t>during the same period during the 12 monthsprior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w:t>
      </w:r>
    </w:p>
    <w:p>
      <w:pPr>
        <w:pStyle w:val="Normal"/>
        <w:widowControl w:val="false"/>
        <w:jc w:val="both"/>
        <w:rPr/>
      </w:pPr>
      <w:r>
        <w:rPr>
          <w:sz w:val="16"/>
        </w:rPr>
        <w:t>"</w:t>
      </w:r>
      <w:r>
        <w:rPr>
          <w:b/>
          <w:sz w:val="16"/>
          <w:u w:val="single"/>
        </w:rPr>
        <w:t>Confirmation</w:t>
      </w:r>
      <w:r>
        <w:rPr>
          <w:sz w:val="16"/>
        </w:rPr>
        <w:t xml:space="preserve">" means the written confirmation of the agreement of the Parties to enter into a Transaction, substantially in the form attached as </w:t>
      </w:r>
      <w:r>
        <w:rPr>
          <w:sz w:val="16"/>
          <w:u w:val="single"/>
        </w:rPr>
        <w:t>Exhibit A</w:t>
      </w:r>
      <w:r>
        <w:rPr>
          <w:sz w:val="16"/>
        </w:rPr>
        <w:t xml:space="preserve">. </w:t>
      </w:r>
    </w:p>
    <w:p>
      <w:pPr>
        <w:pStyle w:val="Normal"/>
        <w:widowControl w:val="false"/>
        <w:jc w:val="both"/>
        <w:rPr>
          <w:b/>
          <w:sz w:val="16"/>
        </w:rPr>
      </w:pPr>
      <w:r>
        <w:rPr>
          <w:b/>
          <w:color w:val="000000"/>
          <w:sz w:val="16"/>
          <w:lang w:eastAsia="en-US"/>
        </w:rPr>
        <w:t>[“</w:t>
      </w:r>
      <w:r>
        <w:rPr>
          <w:b/>
          <w:color w:val="000000"/>
          <w:sz w:val="16"/>
          <w:u w:val="single"/>
          <w:lang w:eastAsia="en-US"/>
        </w:rPr>
        <w:t>Consumption Profile</w:t>
      </w:r>
      <w:r>
        <w:rPr>
          <w:b/>
          <w:color w:val="000000"/>
          <w:sz w:val="16"/>
          <w:lang w:eastAsia="en-US"/>
        </w:rPr>
        <w:t>” means characteristics of a Facility’s energy usage, including load factor and usage distribution over on-peak and off-peak, Sunday, and holiday hours.]</w:t>
      </w:r>
    </w:p>
    <w:p>
      <w:pPr>
        <w:pStyle w:val="Normal"/>
        <w:widowControl w:val="false"/>
        <w:jc w:val="both"/>
        <w:rPr/>
      </w:pPr>
      <w:r>
        <w:rPr>
          <w:sz w:val="16"/>
        </w:rPr>
        <w:t>“</w:t>
      </w:r>
      <w:r>
        <w:rPr>
          <w:b/>
          <w:sz w:val="16"/>
          <w:u w:val="single"/>
        </w:rPr>
        <w:t>Eligible Contract Participant</w:t>
      </w:r>
      <w:r>
        <w:rPr>
          <w:sz w:val="16"/>
        </w:rPr>
        <w:t>” means an entity that either owns assets with a value in excess of $10,000,000 or has a tangible net worth in excess of $1,000,000, in each case calculated in according with generally accepted accounting principles consistently applied.</w:t>
      </w:r>
    </w:p>
    <w:p>
      <w:pPr>
        <w:pStyle w:val="Normal"/>
        <w:widowControl w:val="false"/>
        <w:jc w:val="both"/>
        <w:rPr/>
      </w:pPr>
      <w:r>
        <w:rPr>
          <w:sz w:val="16"/>
        </w:rPr>
        <w:t>"</w:t>
      </w:r>
      <w:r>
        <w:rPr>
          <w:b/>
          <w:sz w:val="16"/>
          <w:u w:val="single"/>
        </w:rPr>
        <w:t>Energy Imbalance Charges</w:t>
      </w:r>
      <w:r>
        <w:rPr>
          <w:sz w:val="16"/>
        </w:rPr>
        <w:t xml:space="preserve">"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 </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explosion or fire</w:t>
      </w:r>
      <w:r>
        <w:rPr>
          <w:b/>
          <w:sz w:val="16"/>
        </w:rPr>
        <w:t xml:space="preserve"> </w:t>
      </w:r>
      <w:r>
        <w:rPr>
          <w:sz w:val="16"/>
        </w:rPr>
        <w:t xml:space="preserve">(in either case to the extent not attributable to the negligence of the Claiming Party); flood, earthquake, storm, or other natural calamity or act of God; strike or other labor dispute; war, insurrection or riot; (ii) an event of force majeure occurring with respect to a Utility or T&amp;D Provider, it being expressly understood that it will be an event of Force Majeure for EESI if for any reason the applicable Utility is unable to or fails to deliver energy to a Facility; and (iii) suspension, curtailment or interruption of service by a Utility or T&amp;D.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official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color w:val="000000"/>
          <w:sz w:val="16"/>
        </w:rPr>
      </w:pPr>
      <w:r>
        <w:rPr>
          <w:color w:val="000000"/>
          <w:sz w:val="16"/>
          <w:lang w:eastAsia="en-US"/>
        </w:rPr>
        <w:t>"</w:t>
      </w:r>
      <w:r>
        <w:rPr>
          <w:b/>
          <w:color w:val="000000"/>
          <w:sz w:val="16"/>
          <w:u w:val="single"/>
          <w:lang w:eastAsia="en-US"/>
        </w:rPr>
        <w:t>Ratings Event</w:t>
      </w:r>
      <w:r>
        <w:rPr>
          <w:color w:val="000000"/>
          <w:sz w:val="16"/>
          <w:lang w:eastAsia="en-US"/>
        </w:rPr>
        <w:t xml:space="preserve">" will mean Customer's senior unsecured long term debt, not supported by a third party, is rated below </w:t>
      </w:r>
      <w:r>
        <w:rPr>
          <w:b/>
          <w:color w:val="000000"/>
          <w:sz w:val="16"/>
          <w:lang w:eastAsia="en-US"/>
        </w:rPr>
        <w:t>[Baa3]</w:t>
      </w:r>
      <w:r>
        <w:rPr>
          <w:color w:val="000000"/>
          <w:sz w:val="16"/>
          <w:lang w:eastAsia="en-US"/>
        </w:rPr>
        <w:t xml:space="preserve"> by Moody's Investor Services or its successor, or below </w:t>
      </w:r>
      <w:r>
        <w:rPr>
          <w:b/>
          <w:color w:val="000000"/>
          <w:sz w:val="16"/>
          <w:lang w:eastAsia="en-US"/>
        </w:rPr>
        <w:t>[BBB-]</w:t>
      </w:r>
      <w:r>
        <w:rPr>
          <w:color w:val="000000"/>
          <w:sz w:val="16"/>
          <w:lang w:eastAsia="en-US"/>
        </w:rPr>
        <w:t xml:space="preserve"> by the Standard &amp; Poor Corporation or its successor, or ceases to be rated by either.</w:t>
      </w:r>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w:t>
      </w:r>
      <w:r>
        <w:rPr>
          <w:color w:val="000000"/>
          <w:sz w:val="16"/>
        </w:rPr>
        <w:t>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EESI's cost of acquiring energy.</w:t>
      </w:r>
    </w:p>
    <w:p>
      <w:pPr>
        <w:pStyle w:val="Normal"/>
        <w:widowControl w:val="false"/>
        <w:jc w:val="both"/>
        <w:rPr/>
      </w:pPr>
      <w:r>
        <w:rPr>
          <w:sz w:val="16"/>
        </w:rPr>
        <w:t>"</w:t>
      </w:r>
      <w:r>
        <w:rPr>
          <w:b/>
          <w:sz w:val="16"/>
          <w:u w:val="single"/>
        </w:rPr>
        <w:t>Taxes</w:t>
      </w:r>
      <w:r>
        <w:rPr>
          <w:sz w:val="16"/>
        </w:rPr>
        <w:t>" means all taxes, assessments, levies, duties, fees, charges or withholdings of any kind whatsoever assessed by a Governmental Authority and all penalties, fines, additions to tax, or interest thereon, but excluding any taxes on net income.</w:t>
      </w:r>
    </w:p>
    <w:p>
      <w:pPr>
        <w:pStyle w:val="Normal"/>
        <w:widowControl w:val="false"/>
        <w:jc w:val="both"/>
        <w:rPr>
          <w:b/>
          <w:sz w:val="16"/>
        </w:rPr>
      </w:pPr>
      <w:r>
        <w:rPr>
          <w:sz w:val="16"/>
        </w:rPr>
        <w:t>"</w:t>
      </w:r>
      <w:r>
        <w:rPr>
          <w:b/>
          <w:sz w:val="16"/>
          <w:u w:val="single"/>
        </w:rPr>
        <w:t>T&amp;D Charges</w:t>
      </w:r>
      <w:r>
        <w:rPr>
          <w:sz w:val="16"/>
        </w:rPr>
        <w:t xml:space="preserve">" means all charges of any kind imposed or authorized to be collected by a Utility or T&amp;D Provider under applicable Law or Rules on account of transmission and distribution of energy, and other similar charges which such Utility is authorized to charge on account of the provision of transmission and distribution services, including, </w:t>
      </w:r>
      <w:r>
        <w:rPr>
          <w:color w:val="000000"/>
          <w:sz w:val="16"/>
        </w:rPr>
        <w:t xml:space="preserve">without limitation, Transition Charges. </w:t>
      </w:r>
    </w:p>
    <w:p>
      <w:pPr>
        <w:pStyle w:val="Normal"/>
        <w:widowControl w:val="false"/>
        <w:jc w:val="both"/>
        <w:rPr/>
      </w:pPr>
      <w:r>
        <w:rPr>
          <w:sz w:val="16"/>
        </w:rPr>
        <w:t>"</w:t>
      </w:r>
      <w:r>
        <w:rPr>
          <w:b/>
          <w:sz w:val="16"/>
          <w:u w:val="single"/>
        </w:rPr>
        <w:t>T&amp;D Provider</w:t>
      </w:r>
      <w:r>
        <w:rPr>
          <w:sz w:val="16"/>
        </w:rPr>
        <w:t>" means each entity transmitting/distributing energy under this Agreement,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the provision of other energy related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pPr>
      <w:r>
        <w:rPr>
          <w:sz w:val="16"/>
        </w:rPr>
        <w:t>"</w:t>
      </w:r>
      <w:r>
        <w:rPr>
          <w:b/>
          <w:sz w:val="16"/>
          <w:u w:val="single"/>
        </w:rPr>
        <w:t>Utility Invoice</w:t>
      </w:r>
      <w:r>
        <w:rPr>
          <w:sz w:val="16"/>
        </w:rPr>
        <w:t>" means the bill or statement issued (in whatever form) by a Utility reflecting its charges for standard electric service for each Account at each Facility for each Billing Cycle (or portion thereof).</w:t>
      </w:r>
    </w:p>
    <w:p>
      <w:pPr>
        <w:pStyle w:val="Normal"/>
        <w:widowControl w:val="false"/>
        <w:spacing w:before="0" w:after="120"/>
        <w:jc w:val="both"/>
        <w:rPr/>
      </w:pPr>
      <w:r>
        <w:rPr>
          <w:sz w:val="16"/>
        </w:rPr>
        <w:t>“</w:t>
      </w:r>
      <w:r>
        <w:rPr>
          <w:b/>
          <w:sz w:val="16"/>
          <w:u w:val="single"/>
        </w:rPr>
        <w:t>Utility Transfer Date</w:t>
      </w:r>
      <w:r>
        <w:rPr/>
        <w:t xml:space="preserve">” means, as to a Transaction, 00:00:01 Local Time on the day immediately following the date as of which the Utility for each Account effects a transfer of electric service for such Account from such Utility (or other provider) to us or effects a return of such service from us to such Utility (or another provider).  </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PROPOSALS, ORAL OR WRITTEN, AND ALL OTHER COMMUNICATIONS, INCLUDING ANY TERM SHEETS OR PRICE QUOTES, BETWEEN THE PARTIES.  THERE ARE NO PRIOR OR CONTEMPORANEOUS AGREEMENTS OR REPRESENTATIONS AFFECTING THE SUBJECT MATTER HEREOF EXCEPT AS EXPRESSLY SET FORTH HEREIN.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WAL-MART STORES,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As of the Effective Date and on the date of entering each Confirmation, each Party represents and warrants to the other as follows: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directed specifically to such Party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p>
    <w:p>
      <w:pPr>
        <w:pStyle w:val="Normal"/>
        <w:jc w:val="both"/>
        <w:rPr/>
      </w:pPr>
      <w:r>
        <w:rPr>
          <w:b/>
          <w:sz w:val="16"/>
          <w:u w:val="single"/>
        </w:rPr>
        <w:t>Limitation of Remedies, Liability &amp; Damages</w:t>
      </w:r>
      <w:r>
        <w:rPr>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jc w:val="both"/>
        <w:rPr>
          <w:b/>
          <w:sz w:val="16"/>
        </w:rPr>
      </w:pPr>
      <w:r>
        <w:rPr>
          <w:b/>
          <w:sz w:val="16"/>
          <w:u w:val="single"/>
        </w:rPr>
        <w:t>Dispute Resolution.</w:t>
      </w:r>
      <w:r>
        <w:rPr>
          <w:b/>
          <w:sz w:val="16"/>
        </w:rPr>
        <w:t xml:space="preserve"> </w:t>
      </w:r>
      <w:r>
        <w:rPr>
          <w:sz w:val="16"/>
        </w:rPr>
        <w:t>Any and all claims, disputes or controversies in any way relating to the subject matter of this Agreement ("</w:t>
      </w:r>
      <w:r>
        <w:rPr>
          <w:sz w:val="16"/>
          <w:u w:val="single"/>
        </w:rPr>
        <w:t>Claims</w:t>
      </w:r>
      <w:r>
        <w:rPr>
          <w:sz w:val="16"/>
        </w:rPr>
        <w:t>") arising out of, relating to, or concerning the terms and conditions of this Agreement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sz w:val="16"/>
          <w:vertAlign w:val="superscript"/>
        </w:rPr>
        <w:t>th</w:t>
      </w:r>
      <w:r>
        <w:rPr>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 </w:t>
      </w:r>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Where we are delivering energy to an Account, we will warrant that we have the right to sell such energy to you and such energy will be free of all liens and encumbrances.  </w:t>
      </w:r>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Partyies, their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jc w:val="both"/>
        <w:rPr/>
      </w:pPr>
      <w:r>
        <w:rPr>
          <w:b/>
          <w:sz w:val="16"/>
          <w:u w:val="single"/>
        </w:rPr>
        <w:t>No Third Party Beneficiaries; Relationship of the Parties</w:t>
      </w:r>
      <w:r>
        <w:rPr>
          <w:sz w:val="16"/>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6"/>
          <w:u w:val="single"/>
        </w:rPr>
        <w:t>Governing Law</w:t>
      </w:r>
      <w:r>
        <w:rPr>
          <w:sz w:val="16"/>
        </w:rPr>
        <w:t>.  THIS AGREEMENT, EACH TRANSACTION AND THE RIGHTS AND DUTIES OF THE PARTIES HEREUNDER WILL BE GOVERNED BY AND CONSTRUED, ENFORCED AND PERFORMED IN ACCORDANCE WITH THE LAW OF THE STATE OF NEW YORK, WITHOUT GIVING EFFECT TO PRINCIPLES OF CONFLICTS OF LAWS.</w:t>
      </w:r>
    </w:p>
    <w:p>
      <w:pPr>
        <w:pStyle w:val="BodyText"/>
        <w:widowControl w:val="false"/>
        <w:rPr/>
      </w:pPr>
      <w:r>
        <w:rPr>
          <w:rFonts w:cs="Times New Roman" w:ascii="Times New Roman" w:hAnsi="Times New Roman"/>
          <w:b/>
          <w:u w:val="single"/>
        </w:rPr>
        <w:t>[Mutual Indemnity</w:t>
      </w:r>
      <w:r>
        <w:rPr>
          <w:rFonts w:cs="Times New Roman" w:ascii="Times New Roman" w:hAnsi="Times New Roman"/>
          <w:b/>
        </w:rPr>
        <w:t>.  Each Party (the “</w:t>
      </w:r>
      <w:r>
        <w:rPr>
          <w:rFonts w:cs="Times New Roman" w:ascii="Times New Roman" w:hAnsi="Times New Roman"/>
          <w:b/>
          <w:u w:val="single"/>
        </w:rPr>
        <w:t>Indemnifying Party</w:t>
      </w:r>
      <w:r>
        <w:rPr>
          <w:rFonts w:cs="Times New Roman" w:ascii="Times New Roman" w:hAnsi="Times New Roman"/>
          <w:b/>
        </w:rPr>
        <w:t>”) agrees to indemnify, defend, and hold the other Party and its directors, officers and employees, agents, shareholders, affiliates, and representatives (collectively, “</w:t>
      </w:r>
      <w:r>
        <w:rPr>
          <w:rFonts w:cs="Times New Roman" w:ascii="Times New Roman" w:hAnsi="Times New Roman"/>
          <w:b/>
          <w:u w:val="single"/>
        </w:rPr>
        <w:t>Indemnified Parties</w:t>
      </w:r>
      <w:r>
        <w:rPr>
          <w:rFonts w:cs="Times New Roman" w:ascii="Times New Roman" w:hAnsi="Times New Roman"/>
          <w:b/>
        </w:rPr>
        <w:t>”) harmless from and against any and all claims, losses, judgments, damages, settlements and expenses (including reasonable investigation expenses and reasonable attorneys’ fees) brought by third Persons who are not Indemnified Parties, for those consequences to the extent they result from (i) the negligence or willful misconduct of the Indemnifying Party, including third-party claims for injury or death to persons, employees, or damage to property or business entities, and (ii) claims that such Indemnifying Party’s products, including hardware, software or any combination thereof, infringes a patent, copyright, trade secret or other intellectual property right of any third party.]</w:t>
      </w:r>
    </w:p>
    <w:p>
      <w:pPr>
        <w:pStyle w:val="BodyText"/>
        <w:widowControl w:val="false"/>
        <w:rPr/>
      </w:pPr>
      <w:r>
        <w:rPr>
          <w:rFonts w:cs="Times New Roman" w:ascii="Times New Roman" w:hAnsi="Times New Roman"/>
          <w:b/>
          <w:u w:val="single"/>
        </w:rPr>
        <w:t>[Severability</w:t>
      </w:r>
      <w:r>
        <w:rPr>
          <w:rFonts w:cs="Times New Roman" w:ascii="Times New Roman" w:hAnsi="Times New Roman"/>
          <w:b/>
        </w:rPr>
        <w:t>.  If in any term, covenant or condition of this Agreement or the application thereof to any person or circumstance shall, to any extent, be invalid or unenforceable, the remainder of this Agreement, or the applicaton of such term, covenant or condition to persons or circumstances other than those as to which it is held invalid or unenforceable, shall not be affected hereby; and each and every remaining term, covenant or condition of this Agreement shall be valid and enforced to the fullest extent permitted by law.]</w:t>
      </w:r>
    </w:p>
    <w:p>
      <w:pPr>
        <w:pStyle w:val="BodyText"/>
        <w:widowControl w:val="false"/>
        <w:rPr/>
      </w:pPr>
      <w:r>
        <w:rPr>
          <w:rFonts w:cs="Times New Roman" w:ascii="Times New Roman" w:hAnsi="Times New Roman"/>
          <w:b/>
          <w:u w:val="single"/>
        </w:rPr>
        <w:t>Partnership/Joint Venture Relationship</w:t>
      </w:r>
      <w:r>
        <w:rPr>
          <w:rFonts w:cs="Times New Roman" w:ascii="Times New Roman" w:hAnsi="Times New Roman"/>
          <w:b/>
        </w:rPr>
        <w:t>.  This Agreement, does not create any obligation or relationship such as a partnership, joint venture or other similar legal relationship under the Law.  Any correspondence or other references to “partners” or other similar terms will not be deemed to alter, amend or change the relationship between the Parties unless there is a formal written agreement specifically detailing the rights, liabilities and obligations of the Parties as to a new, specifically defined legal relationship.</w:t>
      </w:r>
    </w:p>
    <w:p>
      <w:pPr>
        <w:pStyle w:val="Normal"/>
        <w:widowControl w:val="false"/>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valid and binding unless reduced to writing, duly dated and executed by a duly authorized representative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sectPr>
          <w:headerReference w:type="default" r:id="rId5"/>
          <w:headerReference w:type="first" r:id="rId6"/>
          <w:footerReference w:type="default" r:id="rId7"/>
          <w:footerReference w:type="first" r:id="rId8"/>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Normal"/>
        <w:widowControl w:val="false"/>
        <w:jc w:val="center"/>
        <w:rPr>
          <w:b/>
          <w:sz w:val="16"/>
        </w:rPr>
      </w:pPr>
      <w:r>
        <w:rPr>
          <w:b/>
          <w:sz w:val="16"/>
        </w:rPr>
        <w:t>[SAMPLE – NOT FOR EXECUTION]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but not defined have the meanings given in the Master Agreement).  Transaction Number XXXX.</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EESI Energy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EESI Energy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     ]</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ADDITIONAL CREDIT PROVISIONS:</w:t>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SPECIAL TERMS AND CONDITIONS:</w:t>
            </w:r>
          </w:p>
        </w:tc>
        <w:tc>
          <w:tcPr>
            <w:tcW w:w="5940" w:type="dxa"/>
            <w:tcBorders/>
          </w:tcPr>
          <w:p>
            <w:pPr>
              <w:pStyle w:val="Normal"/>
              <w:widowControl w:val="false"/>
              <w:snapToGrid w:val="false"/>
              <w:jc w:val="both"/>
              <w:rPr>
                <w:b/>
                <w:sz w:val="16"/>
              </w:rPr>
            </w:pPr>
            <w:r>
              <w:rPr>
                <w:b/>
                <w:sz w:val="16"/>
              </w:rPr>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970"/>
        <w:gridCol w:w="2250"/>
        <w:gridCol w:w="3330"/>
      </w:tblGrid>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WAL-MART STORES ,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sample - not for execution </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sample - 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22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5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97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25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t>NOTICES AND FACILITY AND ACCOUNT 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 xml:space="preserve">All notices and similar correspondence will be in writing and delivered as specified below by certified or registered mail, postage prepaid,  or by Federal Express or similar overnight mail or courier, hand delivery  other mutually acceptable means.  Notice by certified or registered mail will be deemed received upon receipt.  Notice by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Refusal of delivery shall be deemed receipt.  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AND ACCOUNT 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340"/>
        <w:gridCol w:w="1080"/>
        <w:gridCol w:w="1620"/>
        <w:gridCol w:w="1080"/>
        <w:gridCol w:w="1530"/>
        <w:gridCol w:w="243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Facility Name/</w:t>
            </w:r>
          </w:p>
          <w:p>
            <w:pPr>
              <w:pStyle w:val="Heading5"/>
              <w:ind w:hanging="0" w:start="0"/>
              <w:rPr>
                <w:sz w:val="16"/>
              </w:rPr>
            </w:pPr>
            <w:r>
              <w:rPr>
                <w:sz w:val="16"/>
                <w:rPrChange w:id="0" w:author="Unknown" w:date="0-00-00T00:00:00Z"/>
              </w:rPr>
              <w:t>Address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Utility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Account #(s)</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sz w:val="16"/>
              </w:rPr>
            </w:pPr>
            <w:r>
              <w:rPr>
                <w:sz w:val="16"/>
                <w:rPrChange w:id="0" w:author="EES EMPLOYEE" w:date="2000-08-01T17:43:00Z"/>
              </w:rPr>
              <w:t>Utility</w:t>
              <w:rPrChange w:id="0" w:author="EES EMPLOYEE" w:date="2000-08-01T17:43:00Z"/>
            </w:r>
          </w:p>
          <w:p>
            <w:pPr>
              <w:pStyle w:val="Heading5"/>
              <w:ind w:hanging="0" w:start="0"/>
              <w:rPr>
                <w:sz w:val="16"/>
              </w:rPr>
            </w:pPr>
            <w:r>
              <w:rPr>
                <w:sz w:val="16"/>
                <w:rPrChange w:id="0" w:author="Unknown" w:date="0-00-00T00:00:00Z"/>
              </w:rPr>
              <w:t>Meter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Rate Schedule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Billing Name/</w:t>
            </w:r>
          </w:p>
          <w:p>
            <w:pPr>
              <w:pStyle w:val="Normal"/>
              <w:jc w:val="center"/>
              <w:rPr>
                <w:b/>
                <w:sz w:val="16"/>
              </w:rPr>
            </w:pPr>
            <w:r>
              <w:rPr>
                <w:b/>
                <w:sz w:val="16"/>
              </w:rPr>
              <w:t>Address (if different)</w:t>
            </w:r>
          </w:p>
          <w:p>
            <w:pPr>
              <w:pStyle w:val="Normal"/>
              <w:jc w:val="center"/>
              <w:rPr>
                <w:b/>
                <w:sz w:val="16"/>
              </w:rPr>
            </w:pPr>
            <w:r>
              <w:rPr>
                <w:b/>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6/07/01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2001-06-07T10:57:00Z</dcterms:created>
  <dc:creator>mcastan</dc:creator>
  <dc:description/>
  <cp:keywords>DN 169591.3 02618 00296 6/2/2001 2:20:17 PM</cp:keywords>
  <dc:language>en-CA</dc:language>
  <cp:lastModifiedBy>EES EMPLOYEE</cp:lastModifiedBy>
  <cp:lastPrinted>2001-06-02T14:20:00Z</cp:lastPrinted>
  <dcterms:modified xsi:type="dcterms:W3CDTF">2001-06-07T10:58:00Z</dcterms:modified>
  <cp:revision>4</cp:revision>
  <dc:subject/>
  <dc:title> </dc:title>
</cp:coreProperties>
</file>