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Amendment to</w:t>
      </w:r>
    </w:p>
    <w:p>
      <w:pPr>
        <w:pStyle w:val="Subtitle"/>
        <w:rPr>
          <w:b/>
          <w:sz w:val="32"/>
        </w:rPr>
      </w:pPr>
      <w:r>
        <w:rPr>
          <w:b/>
          <w:sz w:val="32"/>
        </w:rPr>
        <w:t>Electric Service Agreement</w:t>
      </w:r>
    </w:p>
    <w:p>
      <w:pPr>
        <w:pStyle w:val="Normal"/>
        <w:jc w:val="both"/>
        <w:rPr>
          <w:b/>
          <w:sz w:val="32"/>
        </w:rPr>
      </w:pPr>
      <w:r>
        <w:rPr>
          <w:b/>
          <w:sz w:val="32"/>
        </w:rPr>
      </w:r>
    </w:p>
    <w:p>
      <w:pPr>
        <w:pStyle w:val="BodyText"/>
        <w:rPr/>
      </w:pPr>
      <w:r>
        <w:rPr/>
        <w:t>The following is an amendment (“Amendment”) to the Electric Service Agreement (“ESA”), contract No. 700, between Southwestern Public Service Company (“SPS”) and Transwestern Pipeline Company dated March 1996. This Amendment, which is effective June 1, 2000, provides for Customer to begin taking service under SPS’s  Large General Service - Transmission tariff and the Pipeline Compression tariff (as described more particularly herein) at Customer's WT-1 compressor station (“Point of Service”).</w:t>
      </w:r>
    </w:p>
    <w:p>
      <w:pPr>
        <w:pStyle w:val="BodyText"/>
        <w:rPr/>
      </w:pPr>
      <w:r>
        <w:rPr/>
      </w:r>
    </w:p>
    <w:p>
      <w:pPr>
        <w:pStyle w:val="BodyText"/>
        <w:rPr/>
      </w:pPr>
      <w:r>
        <w:rPr/>
        <w:t>Section 2.  "Term" shall be deleted in its entirety and replaced with:</w:t>
      </w:r>
    </w:p>
    <w:p>
      <w:pPr>
        <w:pStyle w:val="BodyText"/>
        <w:rPr/>
      </w:pPr>
      <w:r>
        <w:rPr/>
      </w:r>
    </w:p>
    <w:p>
      <w:pPr>
        <w:pStyle w:val="BodyText"/>
        <w:rPr/>
      </w:pPr>
      <w:r>
        <w:rPr/>
        <w:tab/>
      </w:r>
      <w:r>
        <w:rPr>
          <w:color w:val="000000"/>
        </w:rPr>
        <w:t>This Agreement shall continue in effect unless and until terminated pursuant to Section 3.</w:t>
      </w:r>
    </w:p>
    <w:p>
      <w:pPr>
        <w:pStyle w:val="BodyText"/>
        <w:rPr>
          <w:color w:val="000000"/>
        </w:rPr>
      </w:pPr>
      <w:r>
        <w:rPr>
          <w:color w:val="000000"/>
        </w:rPr>
      </w:r>
    </w:p>
    <w:p>
      <w:pPr>
        <w:pStyle w:val="BodyText"/>
        <w:rPr>
          <w:color w:val="000000"/>
        </w:rPr>
      </w:pPr>
      <w:r>
        <w:rPr>
          <w:color w:val="000000"/>
        </w:rPr>
        <w:t>Section 3.  "Termination" shall be deleted in its entirety and replaced with:</w:t>
      </w:r>
    </w:p>
    <w:p>
      <w:pPr>
        <w:pStyle w:val="BodyText"/>
        <w:rPr>
          <w:color w:val="000000"/>
        </w:rPr>
      </w:pPr>
      <w:r>
        <w:rPr>
          <w:color w:val="000000"/>
        </w:rPr>
      </w:r>
    </w:p>
    <w:p>
      <w:pPr>
        <w:pStyle w:val="BodyText"/>
        <w:rPr>
          <w:color w:val="000000"/>
        </w:rPr>
      </w:pPr>
      <w:r>
        <w:rPr>
          <w:color w:val="000000"/>
        </w:rPr>
        <w:tab/>
        <w:t>Either Party may terminate this Agreement upon written notice to the other Party at least twelve (12) months prior to the intended date of termination.</w:t>
      </w:r>
    </w:p>
    <w:p>
      <w:pPr>
        <w:pStyle w:val="BodyText"/>
        <w:rPr/>
      </w:pPr>
      <w:r>
        <w:rPr/>
      </w:r>
    </w:p>
    <w:p>
      <w:pPr>
        <w:pStyle w:val="BodyText"/>
        <w:rPr/>
      </w:pPr>
      <w:r>
        <w:rPr/>
        <w:t xml:space="preserve">Section 7.  "Billings" third sentence shall be modified to read: </w:t>
      </w:r>
    </w:p>
    <w:p>
      <w:pPr>
        <w:pStyle w:val="BodyText"/>
        <w:rPr/>
      </w:pPr>
      <w:r>
        <w:rPr/>
      </w:r>
    </w:p>
    <w:p>
      <w:pPr>
        <w:pStyle w:val="BodyText"/>
        <w:rPr/>
      </w:pPr>
      <w:r>
        <w:rPr/>
        <w:tab/>
        <w:t>All load points at the Point of Service shall be combined for purposes of billing.  For aggregate demand up to 4000 kW, billings by SPS shall be made under SPS tariff 4110.  For aggregate demand over 4000 kW, billing by SPS shall be made under SPS tariff 4105.1 The term "Tariff" shall be defined as SPS tariff 4110 and SPS tariff 4105.1, which are attached hereto.  The Tariff may, as required by the New Mexico Public Utility Commission, be amended, modified, replaced, or changed from time to time and such amended, modified, new or changed Tariff applicable to this type of service will automatically replace the prior Tariff.</w:t>
      </w:r>
    </w:p>
    <w:p>
      <w:pPr>
        <w:pStyle w:val="BodyText"/>
        <w:rPr/>
      </w:pPr>
      <w:r>
        <w:rPr/>
      </w:r>
    </w:p>
    <w:p>
      <w:pPr>
        <w:pStyle w:val="List"/>
        <w:rPr/>
      </w:pPr>
      <w:r>
        <w:rPr/>
        <w:t>Section 12. “No Guarantee” first sentence shall be modified to read:</w:t>
      </w:r>
    </w:p>
    <w:p>
      <w:pPr>
        <w:pStyle w:val="BlockText"/>
        <w:tabs>
          <w:tab w:val="clear" w:pos="0"/>
          <w:tab w:val="clear" w:pos="720"/>
          <w:tab w:val="left" w:pos="-720" w:leader="none"/>
        </w:tabs>
        <w:suppressAutoHyphens w:val="false"/>
        <w:rPr>
          <w:spacing w:val="0"/>
        </w:rPr>
      </w:pPr>
      <w:r>
        <w:rPr>
          <w:spacing w:val="0"/>
        </w:rPr>
      </w:r>
    </w:p>
    <w:p>
      <w:pPr>
        <w:pStyle w:val="BlockText"/>
        <w:tabs>
          <w:tab w:val="clear" w:pos="0"/>
          <w:tab w:val="clear" w:pos="720"/>
          <w:tab w:val="left" w:pos="-720" w:leader="none"/>
        </w:tabs>
        <w:suppressAutoHyphens w:val="false"/>
        <w:rPr>
          <w:spacing w:val="0"/>
        </w:rPr>
      </w:pPr>
      <w:r>
        <w:rPr>
          <w:spacing w:val="0"/>
        </w:rPr>
        <w:t>Customer acknowledges that the Tariff contemplates that service in excess of 4000 kW may be interrupted in accordance with the terms of the Tariff.</w:t>
      </w:r>
    </w:p>
    <w:p>
      <w:pPr>
        <w:pStyle w:val="BodyText"/>
        <w:rPr/>
      </w:pPr>
      <w:r>
        <w:rPr/>
      </w:r>
    </w:p>
    <w:p>
      <w:pPr>
        <w:pStyle w:val="BodyText"/>
        <w:rPr/>
      </w:pPr>
      <w:r>
        <w:rPr/>
        <w:t>If the aforementioned is your understanding of our Agreement, please have the appropriate official sign in the space provided below.</w:t>
      </w:r>
    </w:p>
    <w:p>
      <w:pPr>
        <w:pStyle w:val="BodyText"/>
        <w:rPr/>
      </w:pPr>
      <w:r>
        <w:rPr/>
      </w:r>
    </w:p>
    <w:p>
      <w:pPr>
        <w:pStyle w:val="BodyText"/>
        <w:rPr/>
      </w:pPr>
      <w:r>
        <w:rPr/>
      </w:r>
    </w:p>
    <w:p>
      <w:pPr>
        <w:pStyle w:val="Normal"/>
        <w:jc w:val="both"/>
        <w:rPr/>
      </w:pPr>
      <w:r>
        <w:rPr/>
        <w:t>AGREED TO AND ACCEPTED BY:</w:t>
        <w:tab/>
        <w:tab/>
        <w:t>AGREED TO AND ACCEPTED BY:</w:t>
      </w:r>
    </w:p>
    <w:p>
      <w:pPr>
        <w:pStyle w:val="Normal"/>
        <w:jc w:val="both"/>
        <w:rPr/>
      </w:pPr>
      <w:r>
        <w:rPr/>
      </w:r>
    </w:p>
    <w:p>
      <w:pPr>
        <w:pStyle w:val="Normal"/>
        <w:jc w:val="both"/>
        <w:rPr/>
      </w:pPr>
      <w:r>
        <w:rPr/>
        <w:t xml:space="preserve">Transwestern Pipeline Company               </w:t>
        <w:tab/>
        <w:tab/>
        <w:t>Southwestern Public Service Company</w:t>
      </w:r>
    </w:p>
    <w:p>
      <w:pPr>
        <w:pStyle w:val="Normal"/>
        <w:tabs>
          <w:tab w:val="clear" w:pos="720"/>
          <w:tab w:val="left" w:pos="4320" w:leader="underscore"/>
          <w:tab w:val="left" w:pos="5040" w:leader="none"/>
          <w:tab w:val="left" w:pos="9792" w:leader="none"/>
        </w:tabs>
        <w:jc w:val="both"/>
        <w:rPr/>
      </w:pPr>
      <w:r>
        <w:rPr/>
      </w:r>
    </w:p>
    <w:p>
      <w:pPr>
        <w:pStyle w:val="Normal"/>
        <w:tabs>
          <w:tab w:val="clear" w:pos="720"/>
          <w:tab w:val="left" w:pos="4320" w:leader="underscore"/>
          <w:tab w:val="left" w:pos="5040" w:leader="none"/>
          <w:tab w:val="left" w:pos="9360" w:leader="underscore"/>
        </w:tabs>
        <w:jc w:val="both"/>
        <w:rPr/>
      </w:pPr>
      <w:r>
        <w:rPr/>
        <w:t>By:</w:t>
        <w:tab/>
        <w:tab/>
        <w:t>By:</w:t>
        <w:tab/>
        <w:t xml:space="preserve"> </w:t>
      </w:r>
    </w:p>
    <w:p>
      <w:pPr>
        <w:pStyle w:val="Normal"/>
        <w:tabs>
          <w:tab w:val="clear" w:pos="720"/>
          <w:tab w:val="left" w:pos="5040" w:leader="none"/>
          <w:tab w:val="left" w:pos="6480" w:leader="none"/>
        </w:tabs>
        <w:jc w:val="both"/>
        <w:rPr/>
      </w:pPr>
      <w:r>
        <w:rPr/>
        <w:t>Michel E. Nelson</w:t>
        <w:tab/>
        <w:t xml:space="preserve">Gary L. Gibson, Vice President of New </w:t>
      </w:r>
    </w:p>
    <w:p>
      <w:pPr>
        <w:pStyle w:val="Normal"/>
        <w:tabs>
          <w:tab w:val="clear" w:pos="720"/>
          <w:tab w:val="left" w:pos="5040" w:leader="none"/>
          <w:tab w:val="left" w:pos="6480" w:leader="none"/>
        </w:tabs>
        <w:jc w:val="both"/>
        <w:rPr/>
      </w:pPr>
      <w:r>
        <w:rPr/>
        <w:t>Vice President, Operations</w:t>
        <w:tab/>
        <w:t>Century Services, Inc., Agent for Southwestern</w:t>
      </w:r>
    </w:p>
    <w:p>
      <w:pPr>
        <w:pStyle w:val="Normal"/>
        <w:tabs>
          <w:tab w:val="clear" w:pos="720"/>
          <w:tab w:val="left" w:pos="5040" w:leader="none"/>
          <w:tab w:val="left" w:pos="6480" w:leader="none"/>
        </w:tabs>
        <w:jc w:val="both"/>
        <w:rPr/>
      </w:pPr>
      <w:r>
        <w:rPr/>
        <w:tab/>
        <w:tab/>
        <w:t>Public Service Company</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0" w:leader="none"/>
        <w:tab w:val="left" w:pos="720" w:leader="none"/>
      </w:tabs>
      <w:suppressAutoHyphens w:val="true"/>
      <w:ind w:hanging="0" w:start="1440" w:end="1440"/>
      <w:jc w:val="both"/>
    </w:pPr>
    <w:rPr>
      <w:spacing w:val="-3"/>
    </w:rPr>
  </w:style>
  <w:style w:type="paragraph" w:styleId="ListContinue">
    <w:name w:val="List Continue"/>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2000-05-19T16:38:00Z</dcterms:created>
  <dc:creator>Mike McLeod</dc:creator>
  <dc:description/>
  <dc:language>en-CA</dc:language>
  <cp:lastModifiedBy>Susan Scott</cp:lastModifiedBy>
  <cp:lastPrinted>2000-05-16T11:20:00Z</cp:lastPrinted>
  <dcterms:modified xsi:type="dcterms:W3CDTF">2000-06-05T20:23:00Z</dcterms:modified>
  <cp:revision>5</cp:revision>
  <dc:subject/>
  <dc:title>Amendment to</dc:title>
</cp:coreProperties>
</file>