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CA"/>
        </w:rPr>
      </w:pPr>
      <w:r>
        <w:rPr>
          <w:lang w:val="en-CA"/>
        </w:rPr>
        <mc:AlternateContent>
          <mc:Choice Requires="wps">
            <w:drawing>
              <wp:anchor behindDoc="0" distT="0" distB="0" distL="114935" distR="114935" simplePos="0" locked="0" layoutInCell="1" allowOverlap="1" relativeHeight="5">
                <wp:simplePos x="0" y="0"/>
                <wp:positionH relativeFrom="column">
                  <wp:posOffset>-338455</wp:posOffset>
                </wp:positionH>
                <wp:positionV relativeFrom="paragraph">
                  <wp:posOffset>1595120</wp:posOffset>
                </wp:positionV>
                <wp:extent cx="0" cy="7822565"/>
                <wp:effectExtent l="5080" t="0" r="5080" b="0"/>
                <wp:wrapNone/>
                <wp:docPr id="1" name=""/>
                <a:graphic xmlns:a="http://schemas.openxmlformats.org/drawingml/2006/main">
                  <a:graphicData uri="http://schemas.microsoft.com/office/word/2010/wordprocessingShape">
                    <wps:wsp>
                      <wps:cNvSpPr/>
                      <wps:spPr>
                        <a:xfrm>
                          <a:off x="0" y="0"/>
                          <a:ext cx="0" cy="78224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6.65pt,125.6pt" to="-26.65pt,741.5pt" stroked="t" o:allowincell="f" style="position:absolute">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0" allowOverlap="1" relativeHeight="2">
                <wp:simplePos x="0" y="0"/>
                <wp:positionH relativeFrom="column">
                  <wp:posOffset>-826770</wp:posOffset>
                </wp:positionH>
                <wp:positionV relativeFrom="paragraph">
                  <wp:posOffset>1486535</wp:posOffset>
                </wp:positionV>
                <wp:extent cx="1405890" cy="7134225"/>
                <wp:effectExtent l="0" t="0" r="0" b="0"/>
                <wp:wrapSquare wrapText="bothSides"/>
                <wp:docPr id="2" name="Frame1"/>
                <a:graphic xmlns:a="http://schemas.openxmlformats.org/drawingml/2006/main">
                  <a:graphicData uri="http://schemas.microsoft.com/office/word/2010/wordprocessingShape">
                    <wps:wsp>
                      <wps:cNvSpPr txBox="1"/>
                      <wps:spPr>
                        <a:xfrm>
                          <a:off x="0" y="0"/>
                          <a:ext cx="1405890" cy="7134225"/>
                        </a:xfrm>
                        <a:prstGeom prst="rect"/>
                        <a:solidFill>
                          <a:srgbClr val="FFFFFF"/>
                        </a:solidFill>
                      </wps:spPr>
                      <wps:txbx>
                        <w:txbxContent>
                          <w:p>
                            <w:pPr>
                              <w:pStyle w:val="Heading1"/>
                              <w:ind w:hanging="0" w:start="0"/>
                              <w:rPr>
                                <w:rFonts w:ascii="Garamond" w:hAnsi="Garamond" w:cs="Garamond"/>
                                <w:sz w:val="16"/>
                              </w:rPr>
                            </w:pPr>
                            <w:r>
                              <w:rPr>
                                <w:rFonts w:cs="Garamond" w:ascii="Garamond" w:hAnsi="Garamond"/>
                                <w:sz w:val="16"/>
                              </w:rPr>
                              <w:t>Chairmen</w:t>
                            </w:r>
                          </w:p>
                          <w:p>
                            <w:pPr>
                              <w:pStyle w:val="Normal"/>
                              <w:tabs>
                                <w:tab w:val="clear" w:pos="720"/>
                                <w:tab w:val="left" w:pos="180" w:leader="none"/>
                              </w:tabs>
                              <w:spacing w:lineRule="atLeast" w:line="240"/>
                              <w:ind w:end="476"/>
                              <w:rPr/>
                            </w:pPr>
                            <w:r>
                              <w:rPr>
                                <w:rFonts w:cs="Garamond" w:ascii="Garamond" w:hAnsi="Garamond"/>
                                <w:b/>
                                <w:color w:val="000000"/>
                                <w:sz w:val="14"/>
                                <w:lang w:eastAsia="en-US"/>
                              </w:rPr>
                              <w:tab/>
                            </w:r>
                            <w:r>
                              <w:rPr>
                                <w:rFonts w:cs="Garamond" w:ascii="Garamond" w:hAnsi="Garamond"/>
                                <w:color w:val="000000"/>
                                <w:sz w:val="16"/>
                                <w:lang w:eastAsia="en-US"/>
                              </w:rPr>
                              <w:t>E. Joseph Hillings</w:t>
                            </w:r>
                          </w:p>
                          <w:p>
                            <w:pPr>
                              <w:pStyle w:val="Normal"/>
                              <w:tabs>
                                <w:tab w:val="clear" w:pos="720"/>
                                <w:tab w:val="left" w:pos="180" w:leader="none"/>
                              </w:tabs>
                              <w:spacing w:lineRule="atLeast" w:line="240"/>
                              <w:ind w:end="476"/>
                              <w:rPr>
                                <w:rFonts w:ascii="Garamond" w:hAnsi="Garamond" w:cs="Garamond"/>
                                <w:color w:val="000000"/>
                                <w:sz w:val="14"/>
                                <w:lang w:eastAsia="en-US"/>
                              </w:rPr>
                            </w:pPr>
                            <w:r>
                              <w:rPr>
                                <w:rFonts w:cs="Garamond" w:ascii="Garamond" w:hAnsi="Garamond"/>
                                <w:color w:val="000000"/>
                                <w:sz w:val="14"/>
                                <w:lang w:eastAsia="en-US"/>
                              </w:rPr>
                              <w:tab/>
                            </w:r>
                            <w:r>
                              <w:rPr>
                                <w:rFonts w:cs="Garamond" w:ascii="Garamond" w:hAnsi="Garamond"/>
                                <w:i/>
                                <w:color w:val="000000"/>
                                <w:sz w:val="14"/>
                                <w:lang w:eastAsia="en-US"/>
                              </w:rPr>
                              <w:t>Enron</w:t>
                            </w:r>
                          </w:p>
                          <w:p>
                            <w:pPr>
                              <w:pStyle w:val="Normal"/>
                              <w:tabs>
                                <w:tab w:val="clear" w:pos="720"/>
                                <w:tab w:val="left" w:pos="180" w:leader="none"/>
                              </w:tabs>
                              <w:spacing w:lineRule="atLeast" w:line="240"/>
                              <w:ind w:end="476"/>
                              <w:rPr>
                                <w:rFonts w:ascii="Garamond" w:hAnsi="Garamond" w:cs="Garamond"/>
                                <w:color w:val="000000"/>
                                <w:sz w:val="14"/>
                                <w:lang w:eastAsia="en-US"/>
                              </w:rPr>
                            </w:pPr>
                            <w:r>
                              <w:rPr>
                                <w:rFonts w:cs="Garamond" w:ascii="Garamond" w:hAnsi="Garamond"/>
                                <w:color w:val="000000"/>
                                <w:sz w:val="14"/>
                                <w:lang w:eastAsia="en-US"/>
                              </w:rPr>
                            </w:r>
                          </w:p>
                          <w:p>
                            <w:pPr>
                              <w:pStyle w:val="Normal"/>
                              <w:tabs>
                                <w:tab w:val="clear" w:pos="720"/>
                                <w:tab w:val="left" w:pos="180" w:leader="none"/>
                              </w:tabs>
                              <w:spacing w:lineRule="atLeast" w:line="240"/>
                              <w:ind w:end="476"/>
                              <w:rPr/>
                            </w:pPr>
                            <w:r>
                              <w:rPr>
                                <w:rFonts w:cs="Garamond" w:ascii="Garamond" w:hAnsi="Garamond"/>
                                <w:color w:val="000000"/>
                                <w:sz w:val="14"/>
                                <w:lang w:eastAsia="en-US"/>
                              </w:rPr>
                              <w:tab/>
                            </w:r>
                            <w:r>
                              <w:rPr>
                                <w:rFonts w:cs="Garamond" w:ascii="Garamond" w:hAnsi="Garamond"/>
                                <w:color w:val="000000"/>
                                <w:sz w:val="16"/>
                                <w:lang w:eastAsia="en-US"/>
                              </w:rPr>
                              <w:t>Donald A. Deline</w:t>
                            </w:r>
                          </w:p>
                          <w:p>
                            <w:pPr>
                              <w:pStyle w:val="Normal"/>
                              <w:tabs>
                                <w:tab w:val="clear" w:pos="720"/>
                                <w:tab w:val="left" w:pos="180" w:leader="none"/>
                              </w:tabs>
                              <w:spacing w:lineRule="atLeast" w:line="240"/>
                              <w:ind w:end="476"/>
                              <w:rPr>
                                <w:rFonts w:ascii="Garamond" w:hAnsi="Garamond" w:cs="Garamond"/>
                                <w:color w:val="000000"/>
                                <w:sz w:val="14"/>
                                <w:lang w:eastAsia="en-US"/>
                              </w:rPr>
                            </w:pPr>
                            <w:r>
                              <w:rPr>
                                <w:rFonts w:cs="Garamond" w:ascii="Garamond" w:hAnsi="Garamond"/>
                                <w:color w:val="000000"/>
                                <w:sz w:val="14"/>
                                <w:lang w:eastAsia="en-US"/>
                              </w:rPr>
                              <w:tab/>
                            </w:r>
                            <w:r>
                              <w:rPr>
                                <w:rFonts w:cs="Garamond" w:ascii="Garamond" w:hAnsi="Garamond"/>
                                <w:i/>
                                <w:color w:val="000000"/>
                                <w:sz w:val="14"/>
                                <w:lang w:eastAsia="en-US"/>
                              </w:rPr>
                              <w:t>Halliburton</w:t>
                            </w:r>
                          </w:p>
                          <w:p>
                            <w:pPr>
                              <w:pStyle w:val="Normal"/>
                              <w:tabs>
                                <w:tab w:val="clear" w:pos="720"/>
                                <w:tab w:val="left" w:pos="180" w:leader="none"/>
                              </w:tabs>
                              <w:spacing w:lineRule="atLeast" w:line="240"/>
                              <w:ind w:end="476"/>
                              <w:rPr>
                                <w:rFonts w:ascii="Garamond" w:hAnsi="Garamond" w:cs="Garamond"/>
                                <w:color w:val="000000"/>
                                <w:sz w:val="14"/>
                                <w:lang w:eastAsia="en-US"/>
                              </w:rPr>
                            </w:pPr>
                            <w:r>
                              <w:rPr>
                                <w:rFonts w:cs="Garamond" w:ascii="Garamond" w:hAnsi="Garamond"/>
                                <w:color w:val="000000"/>
                                <w:sz w:val="14"/>
                                <w:lang w:eastAsia="en-US"/>
                              </w:rPr>
                            </w:r>
                          </w:p>
                          <w:p>
                            <w:pPr>
                              <w:pStyle w:val="Normal"/>
                              <w:tabs>
                                <w:tab w:val="clear" w:pos="720"/>
                                <w:tab w:val="left" w:pos="180" w:leader="none"/>
                              </w:tabs>
                              <w:spacing w:lineRule="atLeast" w:line="240"/>
                              <w:ind w:end="476"/>
                              <w:rPr>
                                <w:rFonts w:ascii="Garamond" w:hAnsi="Garamond" w:cs="Garamond"/>
                                <w:color w:val="000000"/>
                                <w:sz w:val="14"/>
                                <w:lang w:eastAsia="en-US"/>
                              </w:rPr>
                            </w:pPr>
                            <w:r>
                              <w:rPr>
                                <w:rFonts w:cs="Garamond" w:ascii="Garamond" w:hAnsi="Garamond"/>
                                <w:color w:val="000000"/>
                                <w:sz w:val="14"/>
                                <w:lang w:eastAsia="en-US"/>
                              </w:rPr>
                            </w:r>
                          </w:p>
                          <w:p>
                            <w:pPr>
                              <w:pStyle w:val="Heading1"/>
                              <w:tabs>
                                <w:tab w:val="clear" w:pos="720"/>
                                <w:tab w:val="left" w:pos="180" w:leader="none"/>
                              </w:tabs>
                              <w:ind w:hanging="0" w:start="0"/>
                              <w:rPr>
                                <w:rFonts w:ascii="Garamond" w:hAnsi="Garamond" w:cs="Garamond"/>
                                <w:sz w:val="16"/>
                              </w:rPr>
                            </w:pPr>
                            <w:r>
                              <w:rPr>
                                <w:rFonts w:cs="Garamond" w:ascii="Garamond" w:hAnsi="Garamond"/>
                                <w:sz w:val="16"/>
                              </w:rPr>
                              <w:t>Executive Members</w:t>
                            </w:r>
                          </w:p>
                          <w:p>
                            <w:pPr>
                              <w:pStyle w:val="BodyTextIndent"/>
                              <w:tabs>
                                <w:tab w:val="left" w:pos="180" w:leader="none"/>
                                <w:tab w:val="left" w:pos="270" w:leader="none"/>
                              </w:tabs>
                              <w:ind w:hanging="0" w:start="180" w:end="206"/>
                              <w:rPr>
                                <w:rFonts w:ascii="Garamond" w:hAnsi="Garamond" w:cs="Garamond"/>
                                <w:sz w:val="16"/>
                              </w:rPr>
                            </w:pPr>
                            <w:r>
                              <w:rPr>
                                <w:rFonts w:cs="Garamond" w:ascii="Garamond" w:hAnsi="Garamond"/>
                                <w:sz w:val="16"/>
                              </w:rPr>
                              <w:t>Christina M. Bolton</w:t>
                            </w:r>
                          </w:p>
                          <w:p>
                            <w:pPr>
                              <w:pStyle w:val="BodyTextIndent"/>
                              <w:tabs>
                                <w:tab w:val="left" w:pos="180" w:leader="none"/>
                                <w:tab w:val="left" w:pos="270" w:leader="none"/>
                              </w:tabs>
                              <w:ind w:hanging="0" w:start="180" w:end="206"/>
                              <w:rPr>
                                <w:rFonts w:ascii="Garamond" w:hAnsi="Garamond" w:cs="Garamond"/>
                                <w:i/>
                                <w:i/>
                                <w:sz w:val="14"/>
                              </w:rPr>
                            </w:pPr>
                            <w:r>
                              <w:rPr>
                                <w:rFonts w:cs="Garamond" w:ascii="Garamond" w:hAnsi="Garamond"/>
                                <w:i/>
                                <w:sz w:val="14"/>
                              </w:rPr>
                              <w:t>Capitol Strategies</w:t>
                            </w:r>
                          </w:p>
                          <w:p>
                            <w:pPr>
                              <w:pStyle w:val="BodyTextIndent"/>
                              <w:tabs>
                                <w:tab w:val="left" w:pos="180" w:leader="none"/>
                                <w:tab w:val="left" w:pos="270" w:leader="none"/>
                              </w:tabs>
                              <w:ind w:hanging="0" w:start="180" w:end="206"/>
                              <w:rPr>
                                <w:rFonts w:ascii="Garamond" w:hAnsi="Garamond" w:cs="Garamond"/>
                                <w:i/>
                                <w:i/>
                                <w:sz w:val="14"/>
                              </w:rPr>
                            </w:pPr>
                            <w:r>
                              <w:rPr>
                                <w:rFonts w:cs="Garamond" w:ascii="Garamond" w:hAnsi="Garamond"/>
                                <w:i/>
                                <w:sz w:val="14"/>
                              </w:rPr>
                            </w:r>
                          </w:p>
                          <w:p>
                            <w:pPr>
                              <w:pStyle w:val="BodyTextIndent"/>
                              <w:tabs>
                                <w:tab w:val="left" w:pos="180" w:leader="none"/>
                                <w:tab w:val="left" w:pos="270" w:leader="none"/>
                              </w:tabs>
                              <w:ind w:hanging="0" w:start="180" w:end="206"/>
                              <w:rPr>
                                <w:rFonts w:ascii="Garamond" w:hAnsi="Garamond" w:cs="Garamond"/>
                                <w:sz w:val="16"/>
                              </w:rPr>
                            </w:pPr>
                            <w:r>
                              <w:rPr>
                                <w:rFonts w:cs="Garamond" w:ascii="Garamond" w:hAnsi="Garamond"/>
                                <w:sz w:val="16"/>
                              </w:rPr>
                              <w:t>Stephen D. Burns</w:t>
                            </w:r>
                          </w:p>
                          <w:p>
                            <w:pPr>
                              <w:pStyle w:val="BodyTextIndent"/>
                              <w:tabs>
                                <w:tab w:val="left" w:pos="180" w:leader="none"/>
                                <w:tab w:val="left" w:pos="270" w:leader="none"/>
                              </w:tabs>
                              <w:ind w:hanging="0" w:start="180" w:end="206"/>
                              <w:rPr>
                                <w:rFonts w:ascii="Garamond" w:hAnsi="Garamond" w:cs="Garamond"/>
                                <w:i/>
                                <w:i/>
                                <w:sz w:val="14"/>
                              </w:rPr>
                            </w:pPr>
                            <w:r>
                              <w:rPr>
                                <w:rFonts w:cs="Garamond" w:ascii="Garamond" w:hAnsi="Garamond"/>
                                <w:i/>
                                <w:sz w:val="14"/>
                              </w:rPr>
                              <w:t>Pacific Economic Cooperation Council</w:t>
                            </w:r>
                          </w:p>
                          <w:p>
                            <w:pPr>
                              <w:pStyle w:val="BodyTextIndent"/>
                              <w:tabs>
                                <w:tab w:val="left" w:pos="180" w:leader="none"/>
                                <w:tab w:val="left" w:pos="270" w:leader="none"/>
                              </w:tabs>
                              <w:ind w:hanging="0" w:start="-10" w:end="206"/>
                              <w:rPr>
                                <w:rFonts w:ascii="Garamond" w:hAnsi="Garamond" w:cs="Garamond"/>
                                <w:sz w:val="14"/>
                              </w:rPr>
                            </w:pPr>
                            <w:r>
                              <w:rPr>
                                <w:rFonts w:cs="Garamond" w:ascii="Garamond" w:hAnsi="Garamond"/>
                                <w:sz w:val="14"/>
                              </w:rPr>
                              <w:tab/>
                              <w:tab/>
                            </w:r>
                          </w:p>
                          <w:p>
                            <w:pPr>
                              <w:pStyle w:val="BodyTextIndent"/>
                              <w:tabs>
                                <w:tab w:val="left" w:pos="180" w:leader="none"/>
                                <w:tab w:val="left" w:pos="270" w:leader="none"/>
                              </w:tabs>
                              <w:ind w:hanging="0" w:start="180" w:end="206"/>
                              <w:rPr>
                                <w:rFonts w:ascii="Garamond" w:hAnsi="Garamond" w:cs="Garamond"/>
                                <w:sz w:val="16"/>
                              </w:rPr>
                            </w:pPr>
                            <w:r>
                              <w:rPr>
                                <w:rFonts w:cs="Garamond" w:ascii="Garamond" w:hAnsi="Garamond"/>
                                <w:sz w:val="16"/>
                              </w:rPr>
                              <w:t>Brian Petty</w:t>
                            </w:r>
                          </w:p>
                          <w:p>
                            <w:pPr>
                              <w:pStyle w:val="BodyTextIndent"/>
                              <w:tabs>
                                <w:tab w:val="left" w:pos="180" w:leader="none"/>
                                <w:tab w:val="left" w:pos="270" w:leader="none"/>
                              </w:tabs>
                              <w:ind w:hanging="0" w:start="180" w:end="206"/>
                              <w:rPr>
                                <w:rFonts w:ascii="Garamond" w:hAnsi="Garamond" w:cs="Garamond"/>
                                <w:i/>
                                <w:i/>
                                <w:sz w:val="14"/>
                              </w:rPr>
                            </w:pPr>
                            <w:r>
                              <w:rPr>
                                <w:rFonts w:cs="Garamond" w:ascii="Garamond" w:hAnsi="Garamond"/>
                                <w:i/>
                                <w:sz w:val="14"/>
                              </w:rPr>
                              <w:t>International Association of Drilling Contractors</w:t>
                            </w:r>
                          </w:p>
                          <w:p>
                            <w:pPr>
                              <w:pStyle w:val="BodyTextIndent"/>
                              <w:tabs>
                                <w:tab w:val="left" w:pos="180" w:leader="none"/>
                                <w:tab w:val="left" w:pos="270" w:leader="none"/>
                              </w:tabs>
                              <w:ind w:hanging="0" w:start="180" w:end="206"/>
                              <w:rPr>
                                <w:rFonts w:ascii="Garamond" w:hAnsi="Garamond" w:cs="Garamond"/>
                                <w:i/>
                                <w:i/>
                                <w:sz w:val="14"/>
                              </w:rPr>
                            </w:pPr>
                            <w:r>
                              <w:rPr>
                                <w:rFonts w:cs="Garamond" w:ascii="Garamond" w:hAnsi="Garamond"/>
                                <w:i/>
                                <w:sz w:val="14"/>
                              </w:rPr>
                            </w:r>
                          </w:p>
                          <w:p>
                            <w:pPr>
                              <w:pStyle w:val="BodyTextIndent"/>
                              <w:tabs>
                                <w:tab w:val="left" w:pos="180" w:leader="none"/>
                                <w:tab w:val="left" w:pos="270" w:leader="none"/>
                              </w:tabs>
                              <w:ind w:hanging="0" w:start="-10" w:end="206"/>
                              <w:rPr/>
                            </w:pPr>
                            <w:r>
                              <w:rPr>
                                <w:rFonts w:cs="Garamond" w:ascii="Garamond" w:hAnsi="Garamond"/>
                                <w:sz w:val="14"/>
                              </w:rPr>
                              <w:tab/>
                            </w:r>
                            <w:r>
                              <w:rPr>
                                <w:rFonts w:cs="Garamond" w:ascii="Garamond" w:hAnsi="Garamond"/>
                                <w:sz w:val="16"/>
                              </w:rPr>
                              <w:t>Timothy J. Richards</w:t>
                            </w:r>
                          </w:p>
                          <w:p>
                            <w:pPr>
                              <w:pStyle w:val="BodyTextIndent"/>
                              <w:tabs>
                                <w:tab w:val="left" w:pos="180" w:leader="none"/>
                                <w:tab w:val="left" w:pos="270" w:leader="none"/>
                              </w:tabs>
                              <w:ind w:hanging="0" w:start="-10" w:end="206"/>
                              <w:rPr/>
                            </w:pPr>
                            <w:r>
                              <w:rPr>
                                <w:rFonts w:cs="Garamond" w:ascii="Garamond" w:hAnsi="Garamond"/>
                                <w:sz w:val="14"/>
                              </w:rPr>
                              <w:tab/>
                            </w:r>
                            <w:r>
                              <w:rPr>
                                <w:rFonts w:cs="Garamond" w:ascii="Garamond" w:hAnsi="Garamond"/>
                                <w:i/>
                                <w:sz w:val="14"/>
                              </w:rPr>
                              <w:t>General Electric</w:t>
                            </w:r>
                          </w:p>
                          <w:p>
                            <w:pPr>
                              <w:pStyle w:val="BodyTextIndent"/>
                              <w:tabs>
                                <w:tab w:val="left" w:pos="180" w:leader="none"/>
                                <w:tab w:val="left" w:pos="270" w:leader="none"/>
                              </w:tabs>
                              <w:ind w:hanging="0" w:start="-10" w:end="206"/>
                              <w:rPr>
                                <w:rFonts w:ascii="Garamond" w:hAnsi="Garamond" w:cs="Garamond"/>
                                <w:i/>
                                <w:i/>
                                <w:sz w:val="14"/>
                              </w:rPr>
                            </w:pPr>
                            <w:r>
                              <w:rPr>
                                <w:rFonts w:cs="Garamond" w:ascii="Garamond" w:hAnsi="Garamond"/>
                                <w:i/>
                                <w:sz w:val="14"/>
                              </w:rPr>
                            </w:r>
                          </w:p>
                          <w:p>
                            <w:pPr>
                              <w:pStyle w:val="BodyTextIndent"/>
                              <w:tabs>
                                <w:tab w:val="left" w:pos="180" w:leader="none"/>
                                <w:tab w:val="left" w:pos="270" w:leader="none"/>
                              </w:tabs>
                              <w:ind w:hanging="0" w:start="-10" w:end="206"/>
                              <w:rPr/>
                            </w:pPr>
                            <w:r>
                              <w:rPr/>
                              <w:tab/>
                            </w:r>
                          </w:p>
                        </w:txbxContent>
                      </wps:txbx>
                      <wps:bodyPr anchor="t" lIns="92075" tIns="46355" rIns="92075" bIns="46355">
                        <a:noAutofit/>
                      </wps:bodyPr>
                    </wps:wsp>
                  </a:graphicData>
                </a:graphic>
              </wp:anchor>
            </w:drawing>
          </mc:Choice>
          <mc:Fallback>
            <w:pict>
              <v:rect fillcolor="#FFFFFF" style="position:absolute;rotation:-0;width:110.7pt;height:561.75pt;mso-wrap-distance-left:9.05pt;mso-wrap-distance-right:9.05pt;mso-wrap-distance-top:0pt;mso-wrap-distance-bottom:0pt;margin-top:117.05pt;mso-position-vertical-relative:text;margin-left:-65.1pt;mso-position-horizontal-relative:text">
                <v:textbox inset="0.100694444444444in,0.0506944444444444in,0.100694444444444in,0.0506944444444444in">
                  <w:txbxContent>
                    <w:p>
                      <w:pPr>
                        <w:pStyle w:val="Heading1"/>
                        <w:ind w:hanging="0" w:start="0"/>
                        <w:rPr>
                          <w:rFonts w:ascii="Garamond" w:hAnsi="Garamond" w:cs="Garamond"/>
                          <w:sz w:val="16"/>
                        </w:rPr>
                      </w:pPr>
                      <w:r>
                        <w:rPr>
                          <w:rFonts w:cs="Garamond" w:ascii="Garamond" w:hAnsi="Garamond"/>
                          <w:sz w:val="16"/>
                        </w:rPr>
                        <w:t>Chairmen</w:t>
                      </w:r>
                    </w:p>
                    <w:p>
                      <w:pPr>
                        <w:pStyle w:val="Normal"/>
                        <w:tabs>
                          <w:tab w:val="clear" w:pos="720"/>
                          <w:tab w:val="left" w:pos="180" w:leader="none"/>
                        </w:tabs>
                        <w:spacing w:lineRule="atLeast" w:line="240"/>
                        <w:ind w:end="476"/>
                        <w:rPr/>
                      </w:pPr>
                      <w:r>
                        <w:rPr>
                          <w:rFonts w:cs="Garamond" w:ascii="Garamond" w:hAnsi="Garamond"/>
                          <w:b/>
                          <w:color w:val="000000"/>
                          <w:sz w:val="14"/>
                          <w:lang w:eastAsia="en-US"/>
                        </w:rPr>
                        <w:tab/>
                      </w:r>
                      <w:r>
                        <w:rPr>
                          <w:rFonts w:cs="Garamond" w:ascii="Garamond" w:hAnsi="Garamond"/>
                          <w:color w:val="000000"/>
                          <w:sz w:val="16"/>
                          <w:lang w:eastAsia="en-US"/>
                        </w:rPr>
                        <w:t>E. Joseph Hillings</w:t>
                      </w:r>
                    </w:p>
                    <w:p>
                      <w:pPr>
                        <w:pStyle w:val="Normal"/>
                        <w:tabs>
                          <w:tab w:val="clear" w:pos="720"/>
                          <w:tab w:val="left" w:pos="180" w:leader="none"/>
                        </w:tabs>
                        <w:spacing w:lineRule="atLeast" w:line="240"/>
                        <w:ind w:end="476"/>
                        <w:rPr>
                          <w:rFonts w:ascii="Garamond" w:hAnsi="Garamond" w:cs="Garamond"/>
                          <w:color w:val="000000"/>
                          <w:sz w:val="14"/>
                          <w:lang w:eastAsia="en-US"/>
                        </w:rPr>
                      </w:pPr>
                      <w:r>
                        <w:rPr>
                          <w:rFonts w:cs="Garamond" w:ascii="Garamond" w:hAnsi="Garamond"/>
                          <w:color w:val="000000"/>
                          <w:sz w:val="14"/>
                          <w:lang w:eastAsia="en-US"/>
                        </w:rPr>
                        <w:tab/>
                      </w:r>
                      <w:r>
                        <w:rPr>
                          <w:rFonts w:cs="Garamond" w:ascii="Garamond" w:hAnsi="Garamond"/>
                          <w:i/>
                          <w:color w:val="000000"/>
                          <w:sz w:val="14"/>
                          <w:lang w:eastAsia="en-US"/>
                        </w:rPr>
                        <w:t>Enron</w:t>
                      </w:r>
                    </w:p>
                    <w:p>
                      <w:pPr>
                        <w:pStyle w:val="Normal"/>
                        <w:tabs>
                          <w:tab w:val="clear" w:pos="720"/>
                          <w:tab w:val="left" w:pos="180" w:leader="none"/>
                        </w:tabs>
                        <w:spacing w:lineRule="atLeast" w:line="240"/>
                        <w:ind w:end="476"/>
                        <w:rPr>
                          <w:rFonts w:ascii="Garamond" w:hAnsi="Garamond" w:cs="Garamond"/>
                          <w:color w:val="000000"/>
                          <w:sz w:val="14"/>
                          <w:lang w:eastAsia="en-US"/>
                        </w:rPr>
                      </w:pPr>
                      <w:r>
                        <w:rPr>
                          <w:rFonts w:cs="Garamond" w:ascii="Garamond" w:hAnsi="Garamond"/>
                          <w:color w:val="000000"/>
                          <w:sz w:val="14"/>
                          <w:lang w:eastAsia="en-US"/>
                        </w:rPr>
                      </w:r>
                    </w:p>
                    <w:p>
                      <w:pPr>
                        <w:pStyle w:val="Normal"/>
                        <w:tabs>
                          <w:tab w:val="clear" w:pos="720"/>
                          <w:tab w:val="left" w:pos="180" w:leader="none"/>
                        </w:tabs>
                        <w:spacing w:lineRule="atLeast" w:line="240"/>
                        <w:ind w:end="476"/>
                        <w:rPr/>
                      </w:pPr>
                      <w:r>
                        <w:rPr>
                          <w:rFonts w:cs="Garamond" w:ascii="Garamond" w:hAnsi="Garamond"/>
                          <w:color w:val="000000"/>
                          <w:sz w:val="14"/>
                          <w:lang w:eastAsia="en-US"/>
                        </w:rPr>
                        <w:tab/>
                      </w:r>
                      <w:r>
                        <w:rPr>
                          <w:rFonts w:cs="Garamond" w:ascii="Garamond" w:hAnsi="Garamond"/>
                          <w:color w:val="000000"/>
                          <w:sz w:val="16"/>
                          <w:lang w:eastAsia="en-US"/>
                        </w:rPr>
                        <w:t>Donald A. Deline</w:t>
                      </w:r>
                    </w:p>
                    <w:p>
                      <w:pPr>
                        <w:pStyle w:val="Normal"/>
                        <w:tabs>
                          <w:tab w:val="clear" w:pos="720"/>
                          <w:tab w:val="left" w:pos="180" w:leader="none"/>
                        </w:tabs>
                        <w:spacing w:lineRule="atLeast" w:line="240"/>
                        <w:ind w:end="476"/>
                        <w:rPr>
                          <w:rFonts w:ascii="Garamond" w:hAnsi="Garamond" w:cs="Garamond"/>
                          <w:color w:val="000000"/>
                          <w:sz w:val="14"/>
                          <w:lang w:eastAsia="en-US"/>
                        </w:rPr>
                      </w:pPr>
                      <w:r>
                        <w:rPr>
                          <w:rFonts w:cs="Garamond" w:ascii="Garamond" w:hAnsi="Garamond"/>
                          <w:color w:val="000000"/>
                          <w:sz w:val="14"/>
                          <w:lang w:eastAsia="en-US"/>
                        </w:rPr>
                        <w:tab/>
                      </w:r>
                      <w:r>
                        <w:rPr>
                          <w:rFonts w:cs="Garamond" w:ascii="Garamond" w:hAnsi="Garamond"/>
                          <w:i/>
                          <w:color w:val="000000"/>
                          <w:sz w:val="14"/>
                          <w:lang w:eastAsia="en-US"/>
                        </w:rPr>
                        <w:t>Halliburton</w:t>
                      </w:r>
                    </w:p>
                    <w:p>
                      <w:pPr>
                        <w:pStyle w:val="Normal"/>
                        <w:tabs>
                          <w:tab w:val="clear" w:pos="720"/>
                          <w:tab w:val="left" w:pos="180" w:leader="none"/>
                        </w:tabs>
                        <w:spacing w:lineRule="atLeast" w:line="240"/>
                        <w:ind w:end="476"/>
                        <w:rPr>
                          <w:rFonts w:ascii="Garamond" w:hAnsi="Garamond" w:cs="Garamond"/>
                          <w:color w:val="000000"/>
                          <w:sz w:val="14"/>
                          <w:lang w:eastAsia="en-US"/>
                        </w:rPr>
                      </w:pPr>
                      <w:r>
                        <w:rPr>
                          <w:rFonts w:cs="Garamond" w:ascii="Garamond" w:hAnsi="Garamond"/>
                          <w:color w:val="000000"/>
                          <w:sz w:val="14"/>
                          <w:lang w:eastAsia="en-US"/>
                        </w:rPr>
                      </w:r>
                    </w:p>
                    <w:p>
                      <w:pPr>
                        <w:pStyle w:val="Normal"/>
                        <w:tabs>
                          <w:tab w:val="clear" w:pos="720"/>
                          <w:tab w:val="left" w:pos="180" w:leader="none"/>
                        </w:tabs>
                        <w:spacing w:lineRule="atLeast" w:line="240"/>
                        <w:ind w:end="476"/>
                        <w:rPr>
                          <w:rFonts w:ascii="Garamond" w:hAnsi="Garamond" w:cs="Garamond"/>
                          <w:color w:val="000000"/>
                          <w:sz w:val="14"/>
                          <w:lang w:eastAsia="en-US"/>
                        </w:rPr>
                      </w:pPr>
                      <w:r>
                        <w:rPr>
                          <w:rFonts w:cs="Garamond" w:ascii="Garamond" w:hAnsi="Garamond"/>
                          <w:color w:val="000000"/>
                          <w:sz w:val="14"/>
                          <w:lang w:eastAsia="en-US"/>
                        </w:rPr>
                      </w:r>
                    </w:p>
                    <w:p>
                      <w:pPr>
                        <w:pStyle w:val="Heading1"/>
                        <w:tabs>
                          <w:tab w:val="clear" w:pos="720"/>
                          <w:tab w:val="left" w:pos="180" w:leader="none"/>
                        </w:tabs>
                        <w:ind w:hanging="0" w:start="0"/>
                        <w:rPr>
                          <w:rFonts w:ascii="Garamond" w:hAnsi="Garamond" w:cs="Garamond"/>
                          <w:sz w:val="16"/>
                        </w:rPr>
                      </w:pPr>
                      <w:r>
                        <w:rPr>
                          <w:rFonts w:cs="Garamond" w:ascii="Garamond" w:hAnsi="Garamond"/>
                          <w:sz w:val="16"/>
                        </w:rPr>
                        <w:t>Executive Members</w:t>
                      </w:r>
                    </w:p>
                    <w:p>
                      <w:pPr>
                        <w:pStyle w:val="BodyTextIndent"/>
                        <w:tabs>
                          <w:tab w:val="left" w:pos="180" w:leader="none"/>
                          <w:tab w:val="left" w:pos="270" w:leader="none"/>
                        </w:tabs>
                        <w:ind w:hanging="0" w:start="180" w:end="206"/>
                        <w:rPr>
                          <w:rFonts w:ascii="Garamond" w:hAnsi="Garamond" w:cs="Garamond"/>
                          <w:sz w:val="16"/>
                        </w:rPr>
                      </w:pPr>
                      <w:r>
                        <w:rPr>
                          <w:rFonts w:cs="Garamond" w:ascii="Garamond" w:hAnsi="Garamond"/>
                          <w:sz w:val="16"/>
                        </w:rPr>
                        <w:t>Christina M. Bolton</w:t>
                      </w:r>
                    </w:p>
                    <w:p>
                      <w:pPr>
                        <w:pStyle w:val="BodyTextIndent"/>
                        <w:tabs>
                          <w:tab w:val="left" w:pos="180" w:leader="none"/>
                          <w:tab w:val="left" w:pos="270" w:leader="none"/>
                        </w:tabs>
                        <w:ind w:hanging="0" w:start="180" w:end="206"/>
                        <w:rPr>
                          <w:rFonts w:ascii="Garamond" w:hAnsi="Garamond" w:cs="Garamond"/>
                          <w:i/>
                          <w:i/>
                          <w:sz w:val="14"/>
                        </w:rPr>
                      </w:pPr>
                      <w:r>
                        <w:rPr>
                          <w:rFonts w:cs="Garamond" w:ascii="Garamond" w:hAnsi="Garamond"/>
                          <w:i/>
                          <w:sz w:val="14"/>
                        </w:rPr>
                        <w:t>Capitol Strategies</w:t>
                      </w:r>
                    </w:p>
                    <w:p>
                      <w:pPr>
                        <w:pStyle w:val="BodyTextIndent"/>
                        <w:tabs>
                          <w:tab w:val="left" w:pos="180" w:leader="none"/>
                          <w:tab w:val="left" w:pos="270" w:leader="none"/>
                        </w:tabs>
                        <w:ind w:hanging="0" w:start="180" w:end="206"/>
                        <w:rPr>
                          <w:rFonts w:ascii="Garamond" w:hAnsi="Garamond" w:cs="Garamond"/>
                          <w:i/>
                          <w:i/>
                          <w:sz w:val="14"/>
                        </w:rPr>
                      </w:pPr>
                      <w:r>
                        <w:rPr>
                          <w:rFonts w:cs="Garamond" w:ascii="Garamond" w:hAnsi="Garamond"/>
                          <w:i/>
                          <w:sz w:val="14"/>
                        </w:rPr>
                      </w:r>
                    </w:p>
                    <w:p>
                      <w:pPr>
                        <w:pStyle w:val="BodyTextIndent"/>
                        <w:tabs>
                          <w:tab w:val="left" w:pos="180" w:leader="none"/>
                          <w:tab w:val="left" w:pos="270" w:leader="none"/>
                        </w:tabs>
                        <w:ind w:hanging="0" w:start="180" w:end="206"/>
                        <w:rPr>
                          <w:rFonts w:ascii="Garamond" w:hAnsi="Garamond" w:cs="Garamond"/>
                          <w:sz w:val="16"/>
                        </w:rPr>
                      </w:pPr>
                      <w:r>
                        <w:rPr>
                          <w:rFonts w:cs="Garamond" w:ascii="Garamond" w:hAnsi="Garamond"/>
                          <w:sz w:val="16"/>
                        </w:rPr>
                        <w:t>Stephen D. Burns</w:t>
                      </w:r>
                    </w:p>
                    <w:p>
                      <w:pPr>
                        <w:pStyle w:val="BodyTextIndent"/>
                        <w:tabs>
                          <w:tab w:val="left" w:pos="180" w:leader="none"/>
                          <w:tab w:val="left" w:pos="270" w:leader="none"/>
                        </w:tabs>
                        <w:ind w:hanging="0" w:start="180" w:end="206"/>
                        <w:rPr>
                          <w:rFonts w:ascii="Garamond" w:hAnsi="Garamond" w:cs="Garamond"/>
                          <w:i/>
                          <w:i/>
                          <w:sz w:val="14"/>
                        </w:rPr>
                      </w:pPr>
                      <w:r>
                        <w:rPr>
                          <w:rFonts w:cs="Garamond" w:ascii="Garamond" w:hAnsi="Garamond"/>
                          <w:i/>
                          <w:sz w:val="14"/>
                        </w:rPr>
                        <w:t>Pacific Economic Cooperation Council</w:t>
                      </w:r>
                    </w:p>
                    <w:p>
                      <w:pPr>
                        <w:pStyle w:val="BodyTextIndent"/>
                        <w:tabs>
                          <w:tab w:val="left" w:pos="180" w:leader="none"/>
                          <w:tab w:val="left" w:pos="270" w:leader="none"/>
                        </w:tabs>
                        <w:ind w:hanging="0" w:start="-10" w:end="206"/>
                        <w:rPr>
                          <w:rFonts w:ascii="Garamond" w:hAnsi="Garamond" w:cs="Garamond"/>
                          <w:sz w:val="14"/>
                        </w:rPr>
                      </w:pPr>
                      <w:r>
                        <w:rPr>
                          <w:rFonts w:cs="Garamond" w:ascii="Garamond" w:hAnsi="Garamond"/>
                          <w:sz w:val="14"/>
                        </w:rPr>
                        <w:tab/>
                        <w:tab/>
                      </w:r>
                    </w:p>
                    <w:p>
                      <w:pPr>
                        <w:pStyle w:val="BodyTextIndent"/>
                        <w:tabs>
                          <w:tab w:val="left" w:pos="180" w:leader="none"/>
                          <w:tab w:val="left" w:pos="270" w:leader="none"/>
                        </w:tabs>
                        <w:ind w:hanging="0" w:start="180" w:end="206"/>
                        <w:rPr>
                          <w:rFonts w:ascii="Garamond" w:hAnsi="Garamond" w:cs="Garamond"/>
                          <w:sz w:val="16"/>
                        </w:rPr>
                      </w:pPr>
                      <w:r>
                        <w:rPr>
                          <w:rFonts w:cs="Garamond" w:ascii="Garamond" w:hAnsi="Garamond"/>
                          <w:sz w:val="16"/>
                        </w:rPr>
                        <w:t>Brian Petty</w:t>
                      </w:r>
                    </w:p>
                    <w:p>
                      <w:pPr>
                        <w:pStyle w:val="BodyTextIndent"/>
                        <w:tabs>
                          <w:tab w:val="left" w:pos="180" w:leader="none"/>
                          <w:tab w:val="left" w:pos="270" w:leader="none"/>
                        </w:tabs>
                        <w:ind w:hanging="0" w:start="180" w:end="206"/>
                        <w:rPr>
                          <w:rFonts w:ascii="Garamond" w:hAnsi="Garamond" w:cs="Garamond"/>
                          <w:i/>
                          <w:i/>
                          <w:sz w:val="14"/>
                        </w:rPr>
                      </w:pPr>
                      <w:r>
                        <w:rPr>
                          <w:rFonts w:cs="Garamond" w:ascii="Garamond" w:hAnsi="Garamond"/>
                          <w:i/>
                          <w:sz w:val="14"/>
                        </w:rPr>
                        <w:t>International Association of Drilling Contractors</w:t>
                      </w:r>
                    </w:p>
                    <w:p>
                      <w:pPr>
                        <w:pStyle w:val="BodyTextIndent"/>
                        <w:tabs>
                          <w:tab w:val="left" w:pos="180" w:leader="none"/>
                          <w:tab w:val="left" w:pos="270" w:leader="none"/>
                        </w:tabs>
                        <w:ind w:hanging="0" w:start="180" w:end="206"/>
                        <w:rPr>
                          <w:rFonts w:ascii="Garamond" w:hAnsi="Garamond" w:cs="Garamond"/>
                          <w:i/>
                          <w:i/>
                          <w:sz w:val="14"/>
                        </w:rPr>
                      </w:pPr>
                      <w:r>
                        <w:rPr>
                          <w:rFonts w:cs="Garamond" w:ascii="Garamond" w:hAnsi="Garamond"/>
                          <w:i/>
                          <w:sz w:val="14"/>
                        </w:rPr>
                      </w:r>
                    </w:p>
                    <w:p>
                      <w:pPr>
                        <w:pStyle w:val="BodyTextIndent"/>
                        <w:tabs>
                          <w:tab w:val="left" w:pos="180" w:leader="none"/>
                          <w:tab w:val="left" w:pos="270" w:leader="none"/>
                        </w:tabs>
                        <w:ind w:hanging="0" w:start="-10" w:end="206"/>
                        <w:rPr/>
                      </w:pPr>
                      <w:r>
                        <w:rPr>
                          <w:rFonts w:cs="Garamond" w:ascii="Garamond" w:hAnsi="Garamond"/>
                          <w:sz w:val="14"/>
                        </w:rPr>
                        <w:tab/>
                      </w:r>
                      <w:r>
                        <w:rPr>
                          <w:rFonts w:cs="Garamond" w:ascii="Garamond" w:hAnsi="Garamond"/>
                          <w:sz w:val="16"/>
                        </w:rPr>
                        <w:t>Timothy J. Richards</w:t>
                      </w:r>
                    </w:p>
                    <w:p>
                      <w:pPr>
                        <w:pStyle w:val="BodyTextIndent"/>
                        <w:tabs>
                          <w:tab w:val="left" w:pos="180" w:leader="none"/>
                          <w:tab w:val="left" w:pos="270" w:leader="none"/>
                        </w:tabs>
                        <w:ind w:hanging="0" w:start="-10" w:end="206"/>
                        <w:rPr/>
                      </w:pPr>
                      <w:r>
                        <w:rPr>
                          <w:rFonts w:cs="Garamond" w:ascii="Garamond" w:hAnsi="Garamond"/>
                          <w:sz w:val="14"/>
                        </w:rPr>
                        <w:tab/>
                      </w:r>
                      <w:r>
                        <w:rPr>
                          <w:rFonts w:cs="Garamond" w:ascii="Garamond" w:hAnsi="Garamond"/>
                          <w:i/>
                          <w:sz w:val="14"/>
                        </w:rPr>
                        <w:t>General Electric</w:t>
                      </w:r>
                    </w:p>
                    <w:p>
                      <w:pPr>
                        <w:pStyle w:val="BodyTextIndent"/>
                        <w:tabs>
                          <w:tab w:val="left" w:pos="180" w:leader="none"/>
                          <w:tab w:val="left" w:pos="270" w:leader="none"/>
                        </w:tabs>
                        <w:ind w:hanging="0" w:start="-10" w:end="206"/>
                        <w:rPr>
                          <w:rFonts w:ascii="Garamond" w:hAnsi="Garamond" w:cs="Garamond"/>
                          <w:i/>
                          <w:i/>
                          <w:sz w:val="14"/>
                        </w:rPr>
                      </w:pPr>
                      <w:r>
                        <w:rPr>
                          <w:rFonts w:cs="Garamond" w:ascii="Garamond" w:hAnsi="Garamond"/>
                          <w:i/>
                          <w:sz w:val="14"/>
                        </w:rPr>
                      </w:r>
                    </w:p>
                    <w:p>
                      <w:pPr>
                        <w:pStyle w:val="BodyTextIndent"/>
                        <w:tabs>
                          <w:tab w:val="left" w:pos="180" w:leader="none"/>
                          <w:tab w:val="left" w:pos="270" w:leader="none"/>
                        </w:tabs>
                        <w:ind w:hanging="0" w:start="-10" w:end="206"/>
                        <w:rPr/>
                      </w:pPr>
                      <w:r>
                        <w:rPr/>
                        <w:tab/>
                      </w:r>
                    </w:p>
                  </w:txbxContent>
                </v:textbox>
                <w10:wrap type="square"/>
              </v:rect>
            </w:pict>
          </mc:Fallback>
        </mc:AlternateContent>
      </w:r>
      <w:r>
        <mc:AlternateContent>
          <mc:Choice Requires="wps">
            <w:drawing>
              <wp:anchor behindDoc="0" distT="0" distB="0" distL="114935" distR="114935" simplePos="0" locked="0" layoutInCell="0" allowOverlap="1" relativeHeight="3">
                <wp:simplePos x="0" y="0"/>
                <wp:positionH relativeFrom="column">
                  <wp:posOffset>254635</wp:posOffset>
                </wp:positionH>
                <wp:positionV relativeFrom="paragraph">
                  <wp:posOffset>-26035</wp:posOffset>
                </wp:positionV>
                <wp:extent cx="6158865" cy="1572260"/>
                <wp:effectExtent l="0" t="0" r="0" b="0"/>
                <wp:wrapSquare wrapText="bothSides"/>
                <wp:docPr id="3" name="Frame3"/>
                <a:graphic xmlns:a="http://schemas.openxmlformats.org/drawingml/2006/main">
                  <a:graphicData uri="http://schemas.microsoft.com/office/word/2010/wordprocessingShape">
                    <wps:wsp>
                      <wps:cNvSpPr txBox="1"/>
                      <wps:spPr>
                        <a:xfrm>
                          <a:off x="0" y="0"/>
                          <a:ext cx="6158865" cy="1572260"/>
                        </a:xfrm>
                        <a:prstGeom prst="rect"/>
                        <a:solidFill>
                          <a:srgbClr val="FFFFFF">
                            <a:alpha val="0"/>
                          </a:srgbClr>
                        </a:solidFill>
                      </wps:spPr>
                      <wps:txbx>
                        <w:txbxContent>
                          <w:p>
                            <w:pPr>
                              <w:pStyle w:val="Normal"/>
                              <w:rPr/>
                            </w:pPr>
                            <w:r>
                              <w:rPr/>
                              <w:drawing>
                                <wp:inline distT="0" distB="0" distL="0" distR="0">
                                  <wp:extent cx="5824220" cy="1447800"/>
                                  <wp:effectExtent l="0" t="0" r="0" b="0"/>
                                  <wp:docPr id="4" name="esc%20logo%20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sc%20logo%202" descr="" title=""/>
                                          <pic:cNvPicPr>
                                            <a:picLocks noChangeAspect="1" noChangeArrowheads="1"/>
                                          </pic:cNvPicPr>
                                        </pic:nvPicPr>
                                        <pic:blipFill>
                                          <a:blip r:embed="rId2"/>
                                          <a:stretch>
                                            <a:fillRect/>
                                          </a:stretch>
                                        </pic:blipFill>
                                        <pic:spPr bwMode="auto">
                                          <a:xfrm>
                                            <a:off x="0" y="0"/>
                                            <a:ext cx="5824220" cy="1447800"/>
                                          </a:xfrm>
                                          <a:prstGeom prst="rect">
                                            <a:avLst/>
                                          </a:prstGeom>
                                          <a:noFill/>
                                          <a:ln w="9525">
                                            <a:solidFill>
                                              <a:srgbClr val="000000"/>
                                            </a:solidFill>
                                          </a:ln>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484.95pt;height:123.8pt;mso-wrap-distance-left:9.05pt;mso-wrap-distance-right:9.05pt;mso-wrap-distance-top:0pt;mso-wrap-distance-bottom:0pt;margin-top:-2.05pt;mso-position-vertical-relative:text;margin-left:20.05pt;mso-position-horizontal-relative:text">
                <v:fill opacity="0f"/>
                <v:textbox inset="0.100694444444444in,0.0506944444444444in,0.100694444444444in,0.0506944444444444in">
                  <w:txbxContent>
                    <w:p>
                      <w:pPr>
                        <w:pStyle w:val="Normal"/>
                        <w:rPr/>
                      </w:pPr>
                      <w:r>
                        <w:rPr/>
                        <w:drawing>
                          <wp:inline distT="0" distB="0" distL="0" distR="0">
                            <wp:extent cx="5824220" cy="1447800"/>
                            <wp:effectExtent l="0" t="0" r="0" b="0"/>
                            <wp:docPr id="5" name="esc%20logo%20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20logo%202" descr="" title=""/>
                                    <pic:cNvPicPr>
                                      <a:picLocks noChangeAspect="1" noChangeArrowheads="1"/>
                                    </pic:cNvPicPr>
                                  </pic:nvPicPr>
                                  <pic:blipFill>
                                    <a:blip r:embed="rId3"/>
                                    <a:stretch>
                                      <a:fillRect/>
                                    </a:stretch>
                                  </pic:blipFill>
                                  <pic:spPr bwMode="auto">
                                    <a:xfrm>
                                      <a:off x="0" y="0"/>
                                      <a:ext cx="5824220" cy="1447800"/>
                                    </a:xfrm>
                                    <a:prstGeom prst="rect">
                                      <a:avLst/>
                                    </a:prstGeom>
                                    <a:noFill/>
                                    <a:ln w="9525">
                                      <a:solidFill>
                                        <a:srgbClr val="000000"/>
                                      </a:solidFill>
                                    </a:ln>
                                  </pic:spPr>
                                </pic:pic>
                              </a:graphicData>
                            </a:graphic>
                          </wp:inline>
                        </w:drawing>
                      </w:r>
                    </w:p>
                  </w:txbxContent>
                </v:textbox>
                <w10:wrap type="squar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-73025</wp:posOffset>
                </wp:positionH>
                <wp:positionV relativeFrom="paragraph">
                  <wp:posOffset>1667510</wp:posOffset>
                </wp:positionV>
                <wp:extent cx="5541010" cy="7740015"/>
                <wp:effectExtent l="0" t="0" r="0" b="0"/>
                <wp:wrapNone/>
                <wp:docPr id="6" name="Frame2"/>
                <a:graphic xmlns:a="http://schemas.openxmlformats.org/drawingml/2006/main">
                  <a:graphicData uri="http://schemas.microsoft.com/office/word/2010/wordprocessingShape">
                    <wps:wsp>
                      <wps:cNvSpPr txBox="1"/>
                      <wps:spPr>
                        <a:xfrm>
                          <a:off x="0" y="0"/>
                          <a:ext cx="5541010" cy="7740015"/>
                        </a:xfrm>
                        <a:prstGeom prst="rect"/>
                        <a:solidFill>
                          <a:srgbClr val="FFFFFF"/>
                        </a:solidFill>
                      </wps:spPr>
                      <wps:txbx>
                        <w:txbxContent>
                          <w:p>
                            <w:pPr>
                              <w:pStyle w:val="Heading"/>
                              <w:rPr>
                                <w:rFonts w:ascii="Arial" w:hAnsi="Arial" w:cs="Arial"/>
                                <w:sz w:val="22"/>
                              </w:rPr>
                            </w:pPr>
                            <w:r>
                              <w:rPr>
                                <w:rFonts w:cs="Arial" w:ascii="Arial" w:hAnsi="Arial"/>
                                <w:sz w:val="22"/>
                              </w:rPr>
                              <w:t>ENERGY SERVICES: OPEN MARKETS BENEFIT ALL</w:t>
                            </w:r>
                          </w:p>
                          <w:p>
                            <w:pPr>
                              <w:pStyle w:val="Normal"/>
                              <w:ind w:hanging="720" w:start="720" w:end="0"/>
                              <w:rPr>
                                <w:rFonts w:ascii="Arial" w:hAnsi="Arial" w:cs="Arial"/>
                                <w:sz w:val="22"/>
                              </w:rPr>
                            </w:pPr>
                            <w:r>
                              <w:rPr>
                                <w:rFonts w:cs="Arial" w:ascii="Arial" w:hAnsi="Arial"/>
                                <w:sz w:val="22"/>
                              </w:rPr>
                            </w:r>
                          </w:p>
                          <w:p>
                            <w:pPr>
                              <w:pStyle w:val="Normal"/>
                              <w:ind w:hanging="720" w:start="720" w:end="0"/>
                              <w:rPr/>
                            </w:pPr>
                            <w:r>
                              <w:rPr>
                                <w:rFonts w:eastAsia="Symbol" w:cs="Symbol" w:ascii="Symbol" w:hAnsi="Symbol"/>
                                <w:sz w:val="22"/>
                              </w:rPr>
                              <w:sym w:font="Symbol" w:char="f0b7"/>
                            </w:r>
                            <w:r>
                              <w:rPr>
                                <w:rFonts w:cs="Arial" w:ascii="Arial" w:hAnsi="Arial"/>
                                <w:sz w:val="22"/>
                              </w:rPr>
                              <w:tab/>
                            </w:r>
                            <w:r>
                              <w:rPr>
                                <w:rFonts w:cs="Arial" w:ascii="Arial" w:hAnsi="Arial"/>
                                <w:b/>
                                <w:sz w:val="22"/>
                              </w:rPr>
                              <w:t>Energy services comprise service activities related to the development, extraction, production, distribution, marketing, consumption and management of energy products, including coal, electricity, gas, nuclear, oil, and renewables.</w:t>
                            </w:r>
                            <w:r>
                              <w:rPr>
                                <w:rFonts w:cs="Arial" w:ascii="Arial" w:hAnsi="Arial"/>
                                <w:sz w:val="22"/>
                              </w:rPr>
                              <w:t xml:space="preserve">  As such, energy services cut across a variety of other services, including consulting, engineering, environmental, equipment-related, financial, information technology, and resource assessment.</w:t>
                            </w:r>
                          </w:p>
                          <w:p>
                            <w:pPr>
                              <w:pStyle w:val="Normal"/>
                              <w:ind w:hanging="720" w:start="720" w:end="0"/>
                              <w:rPr>
                                <w:rFonts w:ascii="Arial" w:hAnsi="Arial" w:cs="Arial"/>
                                <w:sz w:val="22"/>
                              </w:rPr>
                            </w:pPr>
                            <w:r>
                              <w:rPr>
                                <w:rFonts w:cs="Arial" w:ascii="Arial" w:hAnsi="Arial"/>
                                <w:sz w:val="22"/>
                              </w:rPr>
                            </w:r>
                          </w:p>
                          <w:p>
                            <w:pPr>
                              <w:pStyle w:val="Normal"/>
                              <w:ind w:hanging="720" w:start="720" w:end="0"/>
                              <w:rPr/>
                            </w:pPr>
                            <w:r>
                              <w:rPr>
                                <w:rFonts w:eastAsia="Symbol" w:cs="Symbol" w:ascii="Symbol" w:hAnsi="Symbol"/>
                                <w:sz w:val="22"/>
                              </w:rPr>
                              <w:sym w:font="Symbol" w:char="f0b7"/>
                            </w:r>
                            <w:r>
                              <w:rPr>
                                <w:rFonts w:cs="Arial" w:ascii="Arial" w:hAnsi="Arial"/>
                                <w:sz w:val="22"/>
                              </w:rPr>
                              <w:tab/>
                            </w:r>
                            <w:r>
                              <w:rPr>
                                <w:rFonts w:cs="Arial" w:ascii="Arial" w:hAnsi="Arial"/>
                                <w:b/>
                                <w:sz w:val="22"/>
                              </w:rPr>
                              <w:t>A thriving energy services sector is critical to economic well-being.</w:t>
                            </w:r>
                            <w:r>
                              <w:rPr>
                                <w:rFonts w:cs="Arial" w:ascii="Arial" w:hAnsi="Arial"/>
                                <w:sz w:val="22"/>
                              </w:rPr>
                              <w:t xml:space="preserve">  Global energy demand is projected to grow by about 45 percent by 2015.  Some 2 billion people – mostly in the developing world – do not have access to commercial energy.  There is a high correlation between growth of prudent energy usage and increased economic growth, life expectancy, and standards of living.  According to the World Bank, increased efficiencies of infrastructure provision – including energy – could generate hundreds of billion of dollars in annual savings to governments and energy users.</w:t>
                            </w:r>
                          </w:p>
                          <w:p>
                            <w:pPr>
                              <w:pStyle w:val="Normal"/>
                              <w:ind w:hanging="720" w:start="720" w:end="0"/>
                              <w:rPr>
                                <w:rFonts w:ascii="Arial" w:hAnsi="Arial" w:cs="Arial"/>
                                <w:sz w:val="22"/>
                              </w:rPr>
                            </w:pPr>
                            <w:r>
                              <w:rPr>
                                <w:rFonts w:cs="Arial" w:ascii="Arial" w:hAnsi="Arial"/>
                                <w:sz w:val="22"/>
                              </w:rPr>
                            </w:r>
                          </w:p>
                          <w:p>
                            <w:pPr>
                              <w:pStyle w:val="Normal"/>
                              <w:ind w:hanging="720" w:start="720" w:end="0"/>
                              <w:rPr/>
                            </w:pPr>
                            <w:r>
                              <w:rPr>
                                <w:rFonts w:eastAsia="Symbol" w:cs="Symbol" w:ascii="Symbol" w:hAnsi="Symbol"/>
                                <w:sz w:val="22"/>
                              </w:rPr>
                              <w:sym w:font="Symbol" w:char="f0b7"/>
                            </w:r>
                            <w:r>
                              <w:rPr>
                                <w:rFonts w:cs="Arial" w:ascii="Arial" w:hAnsi="Arial"/>
                                <w:sz w:val="22"/>
                              </w:rPr>
                              <w:tab/>
                            </w:r>
                            <w:r>
                              <w:rPr>
                                <w:rFonts w:cs="Arial" w:ascii="Arial" w:hAnsi="Arial"/>
                                <w:b/>
                                <w:sz w:val="22"/>
                              </w:rPr>
                              <w:t>A growing energy services sector helps protect the environment.</w:t>
                            </w:r>
                            <w:r>
                              <w:rPr>
                                <w:rFonts w:cs="Arial" w:ascii="Arial" w:hAnsi="Arial"/>
                                <w:sz w:val="22"/>
                              </w:rPr>
                              <w:t xml:space="preserve">  Energy services today promote the efficient management and use of energy resources and the development of renewable energy sources.  Extending commercial energy services to the poorest would help reduce “poverty pollution”.  Open, competitive markets in energy services can help ensure access to clean, efficient products and processes and encourage local producers to enhance their operations.  And boosting efficiency of energy utilization lowers pollutant emissions.  </w:t>
                            </w:r>
                          </w:p>
                          <w:p>
                            <w:pPr>
                              <w:pStyle w:val="Normal"/>
                              <w:ind w:hanging="720" w:start="720" w:end="0"/>
                              <w:rPr>
                                <w:rFonts w:ascii="Arial" w:hAnsi="Arial" w:cs="Arial"/>
                                <w:sz w:val="22"/>
                              </w:rPr>
                            </w:pPr>
                            <w:r>
                              <w:rPr>
                                <w:rFonts w:cs="Arial" w:ascii="Arial" w:hAnsi="Arial"/>
                                <w:sz w:val="22"/>
                              </w:rPr>
                            </w:r>
                          </w:p>
                          <w:p>
                            <w:pPr>
                              <w:pStyle w:val="Normal"/>
                              <w:ind w:hanging="720" w:start="720" w:end="0"/>
                              <w:rPr/>
                            </w:pPr>
                            <w:r>
                              <w:rPr>
                                <w:rFonts w:eastAsia="Symbol" w:cs="Symbol" w:ascii="Symbol" w:hAnsi="Symbol"/>
                                <w:sz w:val="22"/>
                              </w:rPr>
                              <w:sym w:font="Symbol" w:char="f0b7"/>
                            </w:r>
                            <w:r>
                              <w:rPr>
                                <w:rFonts w:cs="Arial" w:ascii="Arial" w:hAnsi="Arial"/>
                                <w:sz w:val="22"/>
                              </w:rPr>
                              <w:tab/>
                            </w:r>
                            <w:r>
                              <w:rPr>
                                <w:rFonts w:cs="Arial" w:ascii="Arial" w:hAnsi="Arial"/>
                                <w:b/>
                                <w:sz w:val="22"/>
                              </w:rPr>
                              <w:t>Open markets promote a vibrant global energy services sector.</w:t>
                            </w:r>
                            <w:r>
                              <w:rPr>
                                <w:rFonts w:cs="Arial" w:ascii="Arial" w:hAnsi="Arial"/>
                                <w:sz w:val="22"/>
                              </w:rPr>
                              <w:t xml:space="preserve">  As with other goods and services, competition in the energy services sector offers purchasers access to the highest quality services on a cost-efficient basis.  Energy services largely were omitted from the Uruguay Round, in part because the sector was in its infancy during that negotiation and because in many countries the energy sector was still under the control of state monopolies or monopoly franchises.  </w:t>
                            </w:r>
                            <w:r>
                              <w:rPr>
                                <w:rFonts w:cs="Arial" w:ascii="Arial" w:hAnsi="Arial"/>
                                <w:i/>
                                <w:sz w:val="22"/>
                              </w:rPr>
                              <w:t>One of the key goals for a new round of WTO services negotiations must be to substantially increase global market access opportunities for energy services providers.</w:t>
                            </w:r>
                          </w:p>
                          <w:p>
                            <w:pPr>
                              <w:pStyle w:val="Normal"/>
                              <w:ind w:hanging="720" w:start="720" w:end="0"/>
                              <w:rPr>
                                <w:rFonts w:ascii="Arial" w:hAnsi="Arial" w:cs="Arial"/>
                                <w:i/>
                                <w:i/>
                                <w:sz w:val="22"/>
                              </w:rPr>
                            </w:pPr>
                            <w:r>
                              <w:rPr>
                                <w:rFonts w:cs="Arial" w:ascii="Arial" w:hAnsi="Arial"/>
                                <w:i/>
                                <w:sz w:val="22"/>
                              </w:rPr>
                            </w:r>
                          </w:p>
                          <w:p>
                            <w:pPr>
                              <w:pStyle w:val="Normal"/>
                              <w:ind w:hanging="720" w:start="720" w:end="0"/>
                              <w:rPr>
                                <w:rFonts w:ascii="Arial" w:hAnsi="Arial" w:cs="Arial"/>
                                <w:i/>
                                <w:i/>
                                <w:sz w:val="22"/>
                              </w:rPr>
                            </w:pPr>
                            <w:r>
                              <w:rPr>
                                <w:rFonts w:cs="Arial" w:ascii="Arial" w:hAnsi="Arial"/>
                                <w:i/>
                                <w:sz w:val="22"/>
                              </w:rPr>
                              <w:tab/>
                              <w:t xml:space="preserve">For further information contact Joe Hillings, Chairman, US WTO Energy Services Coalition, c/o Enron, 1775 Eye Street, NW, Suite 800, Washington, DC  20006; 202-466-9145; 202-828-3372 (fax); e-mail:  </w:t>
                            </w:r>
                            <w:hyperlink r:id="rId4">
                              <w:r>
                                <w:rPr>
                                  <w:rStyle w:val="Hyperlink"/>
                                </w:rPr>
                                <w:t>jhillin@enron.com</w:t>
                              </w:r>
                            </w:hyperlink>
                          </w:p>
                          <w:p>
                            <w:pPr>
                              <w:pStyle w:val="Normal"/>
                              <w:ind w:hanging="720" w:start="720" w:end="0"/>
                              <w:rPr>
                                <w:rFonts w:ascii="Arial" w:hAnsi="Arial" w:cs="Arial"/>
                                <w:i/>
                                <w:i/>
                                <w:sz w:val="22"/>
                              </w:rPr>
                            </w:pPr>
                            <w:r>
                              <w:rPr>
                                <w:rFonts w:cs="Arial" w:ascii="Arial" w:hAnsi="Arial"/>
                                <w:i/>
                                <w:sz w:val="22"/>
                              </w:rPr>
                            </w:r>
                          </w:p>
                          <w:p>
                            <w:pPr>
                              <w:pStyle w:val="Normal"/>
                              <w:ind w:hanging="720" w:start="720" w:end="0"/>
                              <w:rPr>
                                <w:rFonts w:ascii="Arial" w:hAnsi="Arial" w:cs="Arial"/>
                                <w:i/>
                                <w:i/>
                                <w:sz w:val="22"/>
                              </w:rPr>
                            </w:pPr>
                            <w:r>
                              <w:rPr>
                                <w:rFonts w:cs="Arial" w:ascii="Arial" w:hAnsi="Arial"/>
                                <w:i/>
                                <w:sz w:val="22"/>
                              </w:rPr>
                            </w:r>
                          </w:p>
                          <w:p>
                            <w:pPr>
                              <w:pStyle w:val="Normal"/>
                              <w:rPr>
                                <w:rFonts w:ascii="Arial" w:hAnsi="Arial" w:cs="Arial"/>
                                <w:sz w:val="22"/>
                              </w:rPr>
                            </w:pPr>
                            <w:r>
                              <w:rPr>
                                <w:rFonts w:cs="Arial" w:ascii="Arial" w:hAnsi="Arial"/>
                                <w:sz w:val="22"/>
                              </w:rPr>
                            </w:r>
                          </w:p>
                        </w:txbxContent>
                      </wps:txbx>
                      <wps:bodyPr anchor="t" lIns="92075" tIns="46355" rIns="92075" bIns="46355">
                        <a:noAutofit/>
                      </wps:bodyPr>
                    </wps:wsp>
                  </a:graphicData>
                </a:graphic>
              </wp:anchor>
            </w:drawing>
          </mc:Choice>
          <mc:Fallback>
            <w:pict>
              <v:rect fillcolor="#FFFFFF" style="position:absolute;rotation:-0;width:436.3pt;height:609.45pt;mso-wrap-distance-left:9.05pt;mso-wrap-distance-right:9.05pt;mso-wrap-distance-top:0pt;mso-wrap-distance-bottom:0pt;margin-top:131.3pt;mso-position-vertical-relative:text;margin-left:-5.75pt;mso-position-horizontal-relative:text">
                <v:textbox inset="0.100694444444444in,0.0506944444444444in,0.100694444444444in,0.0506944444444444in">
                  <w:txbxContent>
                    <w:p>
                      <w:pPr>
                        <w:pStyle w:val="Heading"/>
                        <w:rPr>
                          <w:rFonts w:ascii="Arial" w:hAnsi="Arial" w:cs="Arial"/>
                          <w:sz w:val="22"/>
                        </w:rPr>
                      </w:pPr>
                      <w:r>
                        <w:rPr>
                          <w:rFonts w:cs="Arial" w:ascii="Arial" w:hAnsi="Arial"/>
                          <w:sz w:val="22"/>
                        </w:rPr>
                        <w:t>ENERGY SERVICES: OPEN MARKETS BENEFIT ALL</w:t>
                      </w:r>
                    </w:p>
                    <w:p>
                      <w:pPr>
                        <w:pStyle w:val="Normal"/>
                        <w:ind w:hanging="720" w:start="720" w:end="0"/>
                        <w:rPr>
                          <w:rFonts w:ascii="Arial" w:hAnsi="Arial" w:cs="Arial"/>
                          <w:sz w:val="22"/>
                        </w:rPr>
                      </w:pPr>
                      <w:r>
                        <w:rPr>
                          <w:rFonts w:cs="Arial" w:ascii="Arial" w:hAnsi="Arial"/>
                          <w:sz w:val="22"/>
                        </w:rPr>
                      </w:r>
                    </w:p>
                    <w:p>
                      <w:pPr>
                        <w:pStyle w:val="Normal"/>
                        <w:ind w:hanging="720" w:start="720" w:end="0"/>
                        <w:rPr/>
                      </w:pPr>
                      <w:r>
                        <w:rPr>
                          <w:rFonts w:eastAsia="Symbol" w:cs="Symbol" w:ascii="Symbol" w:hAnsi="Symbol"/>
                          <w:sz w:val="22"/>
                        </w:rPr>
                        <w:sym w:font="Symbol" w:char="f0b7"/>
                      </w:r>
                      <w:r>
                        <w:rPr>
                          <w:rFonts w:cs="Arial" w:ascii="Arial" w:hAnsi="Arial"/>
                          <w:sz w:val="22"/>
                        </w:rPr>
                        <w:tab/>
                      </w:r>
                      <w:r>
                        <w:rPr>
                          <w:rFonts w:cs="Arial" w:ascii="Arial" w:hAnsi="Arial"/>
                          <w:b/>
                          <w:sz w:val="22"/>
                        </w:rPr>
                        <w:t>Energy services comprise service activities related to the development, extraction, production, distribution, marketing, consumption and management of energy products, including coal, electricity, gas, nuclear, oil, and renewables.</w:t>
                      </w:r>
                      <w:r>
                        <w:rPr>
                          <w:rFonts w:cs="Arial" w:ascii="Arial" w:hAnsi="Arial"/>
                          <w:sz w:val="22"/>
                        </w:rPr>
                        <w:t xml:space="preserve">  As such, energy services cut across a variety of other services, including consulting, engineering, environmental, equipment-related, financial, information technology, and resource assessment.</w:t>
                      </w:r>
                    </w:p>
                    <w:p>
                      <w:pPr>
                        <w:pStyle w:val="Normal"/>
                        <w:ind w:hanging="720" w:start="720" w:end="0"/>
                        <w:rPr>
                          <w:rFonts w:ascii="Arial" w:hAnsi="Arial" w:cs="Arial"/>
                          <w:sz w:val="22"/>
                        </w:rPr>
                      </w:pPr>
                      <w:r>
                        <w:rPr>
                          <w:rFonts w:cs="Arial" w:ascii="Arial" w:hAnsi="Arial"/>
                          <w:sz w:val="22"/>
                        </w:rPr>
                      </w:r>
                    </w:p>
                    <w:p>
                      <w:pPr>
                        <w:pStyle w:val="Normal"/>
                        <w:ind w:hanging="720" w:start="720" w:end="0"/>
                        <w:rPr/>
                      </w:pPr>
                      <w:r>
                        <w:rPr>
                          <w:rFonts w:eastAsia="Symbol" w:cs="Symbol" w:ascii="Symbol" w:hAnsi="Symbol"/>
                          <w:sz w:val="22"/>
                        </w:rPr>
                        <w:sym w:font="Symbol" w:char="f0b7"/>
                      </w:r>
                      <w:r>
                        <w:rPr>
                          <w:rFonts w:cs="Arial" w:ascii="Arial" w:hAnsi="Arial"/>
                          <w:sz w:val="22"/>
                        </w:rPr>
                        <w:tab/>
                      </w:r>
                      <w:r>
                        <w:rPr>
                          <w:rFonts w:cs="Arial" w:ascii="Arial" w:hAnsi="Arial"/>
                          <w:b/>
                          <w:sz w:val="22"/>
                        </w:rPr>
                        <w:t>A thriving energy services sector is critical to economic well-being.</w:t>
                      </w:r>
                      <w:r>
                        <w:rPr>
                          <w:rFonts w:cs="Arial" w:ascii="Arial" w:hAnsi="Arial"/>
                          <w:sz w:val="22"/>
                        </w:rPr>
                        <w:t xml:space="preserve">  Global energy demand is projected to grow by about 45 percent by 2015.  Some 2 billion people – mostly in the developing world – do not have access to commercial energy.  There is a high correlation between growth of prudent energy usage and increased economic growth, life expectancy, and standards of living.  According to the World Bank, increased efficiencies of infrastructure provision – including energy – could generate hundreds of billion of dollars in annual savings to governments and energy users.</w:t>
                      </w:r>
                    </w:p>
                    <w:p>
                      <w:pPr>
                        <w:pStyle w:val="Normal"/>
                        <w:ind w:hanging="720" w:start="720" w:end="0"/>
                        <w:rPr>
                          <w:rFonts w:ascii="Arial" w:hAnsi="Arial" w:cs="Arial"/>
                          <w:sz w:val="22"/>
                        </w:rPr>
                      </w:pPr>
                      <w:r>
                        <w:rPr>
                          <w:rFonts w:cs="Arial" w:ascii="Arial" w:hAnsi="Arial"/>
                          <w:sz w:val="22"/>
                        </w:rPr>
                      </w:r>
                    </w:p>
                    <w:p>
                      <w:pPr>
                        <w:pStyle w:val="Normal"/>
                        <w:ind w:hanging="720" w:start="720" w:end="0"/>
                        <w:rPr/>
                      </w:pPr>
                      <w:r>
                        <w:rPr>
                          <w:rFonts w:eastAsia="Symbol" w:cs="Symbol" w:ascii="Symbol" w:hAnsi="Symbol"/>
                          <w:sz w:val="22"/>
                        </w:rPr>
                        <w:sym w:font="Symbol" w:char="f0b7"/>
                      </w:r>
                      <w:r>
                        <w:rPr>
                          <w:rFonts w:cs="Arial" w:ascii="Arial" w:hAnsi="Arial"/>
                          <w:sz w:val="22"/>
                        </w:rPr>
                        <w:tab/>
                      </w:r>
                      <w:r>
                        <w:rPr>
                          <w:rFonts w:cs="Arial" w:ascii="Arial" w:hAnsi="Arial"/>
                          <w:b/>
                          <w:sz w:val="22"/>
                        </w:rPr>
                        <w:t>A growing energy services sector helps protect the environment.</w:t>
                      </w:r>
                      <w:r>
                        <w:rPr>
                          <w:rFonts w:cs="Arial" w:ascii="Arial" w:hAnsi="Arial"/>
                          <w:sz w:val="22"/>
                        </w:rPr>
                        <w:t xml:space="preserve">  Energy services today promote the efficient management and use of energy resources and the development of renewable energy sources.  Extending commercial energy services to the poorest would help reduce “poverty pollution”.  Open, competitive markets in energy services can help ensure access to clean, efficient products and processes and encourage local producers to enhance their operations.  And boosting efficiency of energy utilization lowers pollutant emissions.  </w:t>
                      </w:r>
                    </w:p>
                    <w:p>
                      <w:pPr>
                        <w:pStyle w:val="Normal"/>
                        <w:ind w:hanging="720" w:start="720" w:end="0"/>
                        <w:rPr>
                          <w:rFonts w:ascii="Arial" w:hAnsi="Arial" w:cs="Arial"/>
                          <w:sz w:val="22"/>
                        </w:rPr>
                      </w:pPr>
                      <w:r>
                        <w:rPr>
                          <w:rFonts w:cs="Arial" w:ascii="Arial" w:hAnsi="Arial"/>
                          <w:sz w:val="22"/>
                        </w:rPr>
                      </w:r>
                    </w:p>
                    <w:p>
                      <w:pPr>
                        <w:pStyle w:val="Normal"/>
                        <w:ind w:hanging="720" w:start="720" w:end="0"/>
                        <w:rPr/>
                      </w:pPr>
                      <w:r>
                        <w:rPr>
                          <w:rFonts w:eastAsia="Symbol" w:cs="Symbol" w:ascii="Symbol" w:hAnsi="Symbol"/>
                          <w:sz w:val="22"/>
                        </w:rPr>
                        <w:sym w:font="Symbol" w:char="f0b7"/>
                      </w:r>
                      <w:r>
                        <w:rPr>
                          <w:rFonts w:cs="Arial" w:ascii="Arial" w:hAnsi="Arial"/>
                          <w:sz w:val="22"/>
                        </w:rPr>
                        <w:tab/>
                      </w:r>
                      <w:r>
                        <w:rPr>
                          <w:rFonts w:cs="Arial" w:ascii="Arial" w:hAnsi="Arial"/>
                          <w:b/>
                          <w:sz w:val="22"/>
                        </w:rPr>
                        <w:t>Open markets promote a vibrant global energy services sector.</w:t>
                      </w:r>
                      <w:r>
                        <w:rPr>
                          <w:rFonts w:cs="Arial" w:ascii="Arial" w:hAnsi="Arial"/>
                          <w:sz w:val="22"/>
                        </w:rPr>
                        <w:t xml:space="preserve">  As with other goods and services, competition in the energy services sector offers purchasers access to the highest quality services on a cost-efficient basis.  Energy services largely were omitted from the Uruguay Round, in part because the sector was in its infancy during that negotiation and because in many countries the energy sector was still under the control of state monopolies or monopoly franchises.  </w:t>
                      </w:r>
                      <w:r>
                        <w:rPr>
                          <w:rFonts w:cs="Arial" w:ascii="Arial" w:hAnsi="Arial"/>
                          <w:i/>
                          <w:sz w:val="22"/>
                        </w:rPr>
                        <w:t>One of the key goals for a new round of WTO services negotiations must be to substantially increase global market access opportunities for energy services providers.</w:t>
                      </w:r>
                    </w:p>
                    <w:p>
                      <w:pPr>
                        <w:pStyle w:val="Normal"/>
                        <w:ind w:hanging="720" w:start="720" w:end="0"/>
                        <w:rPr>
                          <w:rFonts w:ascii="Arial" w:hAnsi="Arial" w:cs="Arial"/>
                          <w:i/>
                          <w:i/>
                          <w:sz w:val="22"/>
                        </w:rPr>
                      </w:pPr>
                      <w:r>
                        <w:rPr>
                          <w:rFonts w:cs="Arial" w:ascii="Arial" w:hAnsi="Arial"/>
                          <w:i/>
                          <w:sz w:val="22"/>
                        </w:rPr>
                      </w:r>
                    </w:p>
                    <w:p>
                      <w:pPr>
                        <w:pStyle w:val="Normal"/>
                        <w:ind w:hanging="720" w:start="720" w:end="0"/>
                        <w:rPr>
                          <w:rFonts w:ascii="Arial" w:hAnsi="Arial" w:cs="Arial"/>
                          <w:i/>
                          <w:i/>
                          <w:sz w:val="22"/>
                        </w:rPr>
                      </w:pPr>
                      <w:r>
                        <w:rPr>
                          <w:rFonts w:cs="Arial" w:ascii="Arial" w:hAnsi="Arial"/>
                          <w:i/>
                          <w:sz w:val="22"/>
                        </w:rPr>
                        <w:tab/>
                        <w:t xml:space="preserve">For further information contact Joe Hillings, Chairman, US WTO Energy Services Coalition, c/o Enron, 1775 Eye Street, NW, Suite 800, Washington, DC  20006; 202-466-9145; 202-828-3372 (fax); e-mail:  </w:t>
                      </w:r>
                      <w:hyperlink r:id="rId5">
                        <w:r>
                          <w:rPr>
                            <w:rStyle w:val="Hyperlink"/>
                          </w:rPr>
                          <w:t>jhillin@enron.com</w:t>
                        </w:r>
                      </w:hyperlink>
                    </w:p>
                    <w:p>
                      <w:pPr>
                        <w:pStyle w:val="Normal"/>
                        <w:ind w:hanging="720" w:start="720" w:end="0"/>
                        <w:rPr>
                          <w:rFonts w:ascii="Arial" w:hAnsi="Arial" w:cs="Arial"/>
                          <w:i/>
                          <w:i/>
                          <w:sz w:val="22"/>
                        </w:rPr>
                      </w:pPr>
                      <w:r>
                        <w:rPr>
                          <w:rFonts w:cs="Arial" w:ascii="Arial" w:hAnsi="Arial"/>
                          <w:i/>
                          <w:sz w:val="22"/>
                        </w:rPr>
                      </w:r>
                    </w:p>
                    <w:p>
                      <w:pPr>
                        <w:pStyle w:val="Normal"/>
                        <w:ind w:hanging="720" w:start="720" w:end="0"/>
                        <w:rPr>
                          <w:rFonts w:ascii="Arial" w:hAnsi="Arial" w:cs="Arial"/>
                          <w:i/>
                          <w:i/>
                          <w:sz w:val="22"/>
                        </w:rPr>
                      </w:pPr>
                      <w:r>
                        <w:rPr>
                          <w:rFonts w:cs="Arial" w:ascii="Arial" w:hAnsi="Arial"/>
                          <w:i/>
                          <w:sz w:val="22"/>
                        </w:rPr>
                      </w:r>
                    </w:p>
                    <w:p>
                      <w:pPr>
                        <w:pStyle w:val="Normal"/>
                        <w:rPr>
                          <w:rFonts w:ascii="Arial" w:hAnsi="Arial" w:cs="Arial"/>
                          <w:sz w:val="22"/>
                        </w:rPr>
                      </w:pPr>
                      <w:r>
                        <w:rPr>
                          <w:rFonts w:cs="Arial" w:ascii="Arial" w:hAnsi="Arial"/>
                          <w:sz w:val="22"/>
                        </w:rPr>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288"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Garamon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tLeast" w:line="240"/>
      <w:outlineLvl w:val="0"/>
    </w:pPr>
    <w:rPr>
      <w:rFonts w:ascii="Helv;Arial" w:hAnsi="Helv;Arial" w:cs="Helv;Arial"/>
      <w:b/>
      <w:color w:val="000000"/>
      <w:sz w:val="18"/>
      <w:lang w:eastAsia="en-US"/>
    </w:rPr>
  </w:style>
  <w:style w:type="paragraph" w:styleId="Heading2">
    <w:name w:val="heading 2"/>
    <w:basedOn w:val="Normal"/>
    <w:next w:val="Normal"/>
    <w:qFormat/>
    <w:pPr>
      <w:keepNext w:val="true"/>
      <w:numPr>
        <w:ilvl w:val="1"/>
        <w:numId w:val="1"/>
      </w:numPr>
      <w:jc w:val="center"/>
      <w:outlineLvl w:val="1"/>
    </w:pPr>
    <w:rPr>
      <w:sz w:val="40"/>
      <w:u w:val="single"/>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ind w:hanging="720" w:start="720" w:end="0"/>
      <w:jc w:val="center"/>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270" w:leader="none"/>
      </w:tabs>
      <w:spacing w:lineRule="atLeast" w:line="240"/>
      <w:ind w:firstLine="720" w:start="0" w:end="476"/>
    </w:pPr>
    <w:rPr>
      <w:rFonts w:ascii="Helv;Arial" w:hAnsi="Helv;Arial" w:cs="Helv;Arial"/>
      <w:color w:val="000000"/>
      <w:sz w:val="18"/>
      <w:lang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hyperlink" Target="mailto:jhillin@enron.com" TargetMode="External"/><Relationship Id="rId5" Type="http://schemas.openxmlformats.org/officeDocument/2006/relationships/hyperlink" Target="mailto:jhillin@enron.com"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1999-11-18T17:25:00Z</dcterms:created>
  <dc:creator>Saquib Chowdhury</dc:creator>
  <dc:description/>
  <dc:language>en-CA</dc:language>
  <cp:lastModifiedBy>Joe Sutton</cp:lastModifiedBy>
  <cp:lastPrinted>1999-08-12T12:05:00Z</cp:lastPrinted>
  <dcterms:modified xsi:type="dcterms:W3CDTF">1999-11-18T17:25:00Z</dcterms:modified>
  <cp:revision>2</cp:revision>
  <dc:subject/>
  <dc:title/>
</cp:coreProperties>
</file>