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rPr/>
      </w:pPr>
      <w:r>
        <w:rPr/>
        <w:t>memorandum</w:t>
      </w:r>
    </w:p>
    <w:p>
      <w:pPr>
        <w:pStyle w:val="MessageHeaderFirst"/>
        <w:rPr/>
      </w:pPr>
      <w:r>
        <w:rPr>
          <w:rStyle w:val="MessageHeaderLabel"/>
        </w:rPr>
        <w:t>to:</w:t>
      </w:r>
      <w:r>
        <w:rPr/>
        <w:tab/>
        <w:t>mike small</w:t>
      </w:r>
    </w:p>
    <w:p>
      <w:pPr>
        <w:pStyle w:val="MessageHeader"/>
        <w:rPr/>
      </w:pPr>
      <w:r>
        <w:rPr>
          <w:rStyle w:val="MessageHeaderLabel"/>
        </w:rPr>
        <w:t>from:</w:t>
      </w:r>
      <w:r>
        <w:rPr/>
        <w:tab/>
        <w:t>sonnet edmonds, southern company energy marketing l.p.</w:t>
      </w:r>
    </w:p>
    <w:p>
      <w:pPr>
        <w:pStyle w:val="MessageHeader"/>
        <w:rPr/>
      </w:pPr>
      <w:r>
        <w:rPr>
          <w:rStyle w:val="MessageHeaderLabel"/>
        </w:rPr>
        <w:t>subject:</w:t>
      </w:r>
      <w:r>
        <w:rPr/>
        <w:tab/>
        <w:t>powerex bookout proposal</w:t>
      </w:r>
    </w:p>
    <w:p>
      <w:pPr>
        <w:pStyle w:val="MessageHeader"/>
        <w:rPr/>
      </w:pPr>
      <w:r>
        <w:rPr>
          <w:rStyle w:val="MessageHeaderLabel"/>
        </w:rPr>
        <w:t>date:</w:t>
      </w:r>
      <w:r>
        <w:rPr/>
        <w:tab/>
        <w:t>august 3, 2000</w:t>
      </w:r>
    </w:p>
    <w:p>
      <w:pPr>
        <w:pStyle w:val="MessageHeaderLast"/>
        <w:rPr/>
      </w:pPr>
      <w:r>
        <w:rPr>
          <w:rStyle w:val="MessageHeaderLabel"/>
        </w:rPr>
        <w:t>cc:</w:t>
      </w:r>
      <w:r>
        <w:rPr/>
        <w:tab/>
        <w:t>bobby campo, gerry fleming, bill orr</w:t>
      </w:r>
    </w:p>
    <w:p>
      <w:pPr>
        <w:pStyle w:val="BodyText"/>
        <w:rPr/>
      </w:pPr>
      <w:r>
        <w:rPr/>
        <w:t>I am unable to attend the August 4 meeting of the WSPP Contracting Committee.  However, I wanted to have a chance to again articulate Southern Company Energy Marketing’s position on the Powerex bookout proposal.</w:t>
      </w:r>
    </w:p>
    <w:p>
      <w:pPr>
        <w:pStyle w:val="BodyText"/>
        <w:rPr/>
      </w:pPr>
      <w:r>
        <w:rPr/>
        <w:t>As I mentioned at the last meeting, we strongly oppose the inclusion of any bookout language in the WSPP Agreement.  We believe such language is unnecessary and will lead to disagreements between counterparties.  Further, the timing for consideration is inappropriate, given that the matter is in litigation between certain parties, some of whom are members of the WSPP.  For these reasons alone, we again urge the Contracting Committee to not support the Powerex bookout proposal.</w:t>
      </w:r>
    </w:p>
    <w:p>
      <w:pPr>
        <w:pStyle w:val="BodyText"/>
        <w:rPr/>
      </w:pPr>
      <w:r>
        <w:rPr/>
        <w:t>Although we do not believe the group’s discussion needs to address the merits of the bookout issue, our position is the same as that which I explained at the last meeting:  Bookouts are binding agreements as of the scheduling deadline and cannot be undone without the mutual consent of the parties.  We strongly disagree that they should be considered “scheduling conveniences” that can be undone by notice from one party to the other, as Powerex’ proposal suggests.  Legal and economic reasons supporting our position include:</w:t>
      </w:r>
    </w:p>
    <w:p>
      <w:pPr>
        <w:pStyle w:val="BodyText"/>
        <w:numPr>
          <w:ilvl w:val="0"/>
          <w:numId w:val="2"/>
        </w:numPr>
        <w:tabs>
          <w:tab w:val="left" w:pos="720" w:leader="none"/>
        </w:tabs>
        <w:ind w:hanging="360" w:start="720" w:end="0"/>
        <w:rPr/>
      </w:pPr>
      <w:r>
        <w:rPr/>
        <w:t>When the parties book out a transaction, they are agreeing to schedule and therefore deliver energy via the bookout for the relevant time period.  Powerex’ proposal would upset the economics and understandings of the parties to the transaction.  For example, once a transaction is booked out, the parties do not procure energy supplies or transmission for the transaction.</w:t>
      </w:r>
    </w:p>
    <w:p>
      <w:pPr>
        <w:pStyle w:val="BodyText"/>
        <w:numPr>
          <w:ilvl w:val="0"/>
          <w:numId w:val="2"/>
        </w:numPr>
        <w:tabs>
          <w:tab w:val="left" w:pos="720" w:leader="none"/>
        </w:tabs>
        <w:ind w:hanging="360" w:start="720" w:end="0"/>
        <w:rPr/>
      </w:pPr>
      <w:r>
        <w:rPr/>
        <w:t>Southern’s bookout practice follows long-standing energy industry practice and understandings.  Powerex’ position (and those of the few counterparties in the industry who support this view) only evolved after the events surrounding PCA occurred in the summer of 1998 and deviates from long-standing industry practice.</w:t>
      </w:r>
    </w:p>
    <w:p>
      <w:pPr>
        <w:pStyle w:val="BodyText"/>
        <w:numPr>
          <w:ilvl w:val="0"/>
          <w:numId w:val="2"/>
        </w:numPr>
        <w:tabs>
          <w:tab w:val="left" w:pos="720" w:leader="none"/>
        </w:tabs>
        <w:ind w:hanging="360" w:start="720" w:end="0"/>
        <w:rPr/>
      </w:pPr>
      <w:r>
        <w:rPr/>
        <w:t>Powerex’s proposal would grant a free option to parties in a bookout chain to seek to undo a scheduling chain for any reason, including economics.  For example, in a situation where prices are increasing, it may be economically advantageous for a party to terminate a bookout to receive physical deliveries of energy that it can then sell into the market.  Market conditions at the time could be quite different than when the bookout was agreed to, in which case it might be difficult or significantly more expensive for the upstream counterparties to procure physical deliveries for the counterparty that elected to undo the bookout.  We do not believe that any company in this business intends or desires to write free options to another company.</w:t>
      </w:r>
    </w:p>
    <w:p>
      <w:pPr>
        <w:pStyle w:val="BodyText"/>
        <w:numPr>
          <w:ilvl w:val="0"/>
          <w:numId w:val="2"/>
        </w:numPr>
        <w:tabs>
          <w:tab w:val="left" w:pos="720" w:leader="none"/>
        </w:tabs>
        <w:ind w:hanging="360" w:start="720" w:end="0"/>
        <w:rPr/>
      </w:pPr>
      <w:r>
        <w:rPr/>
        <w:t>Powerex’ proposal would subject all counterparties in the bookout chain to the contractual terms and conditions (including credit) of the other parties in the chain.  For example, under Powerex’ proposal, if one party’s credit became an issue (or if there was any other contractual dispute), that party’s upstream counterparty could choose to terminate the bookout and request physical delivery from the other parties.  This is not a risk that parties intend to accept when they agree to a bookout.</w:t>
      </w:r>
    </w:p>
    <w:p>
      <w:pPr>
        <w:pStyle w:val="BodyText"/>
        <w:rPr/>
      </w:pPr>
      <w:r>
        <w:rPr/>
      </w:r>
    </w:p>
    <w:p>
      <w:pPr>
        <w:pStyle w:val="BodyText"/>
        <w:spacing w:before="0" w:after="240"/>
        <w:rPr/>
      </w:pPr>
      <w:r>
        <w:rPr/>
        <w:t>To the extent that any vote is taken on the Powerex proposal, Southern, through Bobby Campo, will vote to oppose it.  We do not believe the proposal would be a positive addition to the WSPP Agreement at this time.  Further, the result of the adoption of such a proposal may result in companies electing to use other form master agreements or to not book out transactions in order to avoid the risks and problems identified above.  This could cause disruption and turmoil in the markets, as well as require companies to add new staff to make scheduling and transmission arrangements.  We do not believe this is a positive step for the industry as a whole.</w:t>
      </w:r>
    </w:p>
    <w:sectPr>
      <w:footerReference w:type="default" r:id="rId2"/>
      <w:footerReference w:type="first" r:id="rId3"/>
      <w:type w:val="nextPage"/>
      <w:pgSz w:w="12240" w:h="15840"/>
      <w:pgMar w:left="1800" w:right="1800" w:gutter="0" w:header="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2" w:color="000000"/>
      </w:pBdr>
      <w:spacing w:before="600" w:after="0"/>
      <w:ind w:start="4080" w:end="4080"/>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2"/>
      <w:szCs w:val="20"/>
      <w:lang w:val="en-US" w:eastAsia="zh-CN" w:bidi="hi-IN"/>
    </w:rPr>
  </w:style>
  <w:style w:type="paragraph" w:styleId="Heading1">
    <w:name w:val="heading 1"/>
    <w:basedOn w:val="Normal"/>
    <w:next w:val="BodyText"/>
    <w:qFormat/>
    <w:pPr>
      <w:keepNext w:val="true"/>
      <w:keepLines/>
      <w:numPr>
        <w:ilvl w:val="0"/>
        <w:numId w:val="1"/>
      </w:numPr>
      <w:spacing w:lineRule="atLeast" w:line="240" w:before="0" w:after="180"/>
      <w:jc w:val="center"/>
      <w:outlineLvl w:val="0"/>
    </w:pPr>
    <w:rPr>
      <w:rFonts w:ascii="Garamond" w:hAnsi="Garamond" w:cs="Garamond"/>
      <w:smallCaps/>
      <w:spacing w:val="20"/>
      <w:kern w:val="2"/>
      <w:sz w:val="21"/>
    </w:rPr>
  </w:style>
  <w:style w:type="paragraph" w:styleId="Heading2">
    <w:name w:val="heading 2"/>
    <w:basedOn w:val="Normal"/>
    <w:next w:val="BodyText"/>
    <w:qFormat/>
    <w:pPr>
      <w:keepNext w:val="true"/>
      <w:keepLines/>
      <w:numPr>
        <w:ilvl w:val="1"/>
        <w:numId w:val="1"/>
      </w:numPr>
      <w:spacing w:lineRule="atLeast" w:line="240" w:before="0" w:after="170"/>
      <w:outlineLvl w:val="1"/>
    </w:pPr>
    <w:rPr>
      <w:rFonts w:ascii="Garamond" w:hAnsi="Garamond" w:cs="Garamond"/>
      <w:caps/>
      <w:kern w:val="2"/>
      <w:sz w:val="22"/>
    </w:rPr>
  </w:style>
  <w:style w:type="paragraph" w:styleId="Heading3">
    <w:name w:val="heading 3"/>
    <w:basedOn w:val="Normal"/>
    <w:next w:val="BodyText"/>
    <w:qFormat/>
    <w:pPr>
      <w:keepNext w:val="true"/>
      <w:keepLines/>
      <w:numPr>
        <w:ilvl w:val="2"/>
        <w:numId w:val="1"/>
      </w:numPr>
      <w:spacing w:lineRule="atLeast" w:line="240" w:before="0" w:after="240"/>
      <w:outlineLvl w:val="2"/>
    </w:pPr>
    <w:rPr>
      <w:rFonts w:ascii="Garamond" w:hAnsi="Garamond" w:cs="Garamond"/>
      <w:i/>
      <w:kern w:val="2"/>
      <w:sz w:val="22"/>
    </w:rPr>
  </w:style>
  <w:style w:type="paragraph" w:styleId="Heading4">
    <w:name w:val="heading 4"/>
    <w:basedOn w:val="Normal"/>
    <w:next w:val="BodyText"/>
    <w:qFormat/>
    <w:pPr>
      <w:keepNext w:val="true"/>
      <w:keepLines/>
      <w:numPr>
        <w:ilvl w:val="3"/>
        <w:numId w:val="1"/>
      </w:numPr>
      <w:spacing w:lineRule="atLeast" w:line="240"/>
      <w:outlineLvl w:val="3"/>
    </w:pPr>
    <w:rPr>
      <w:rFonts w:ascii="Garamond" w:hAnsi="Garamond" w:cs="Garamond"/>
      <w:smallCaps/>
      <w:kern w:val="2"/>
      <w:sz w:val="23"/>
    </w:rPr>
  </w:style>
  <w:style w:type="paragraph" w:styleId="Heading5">
    <w:name w:val="heading 5"/>
    <w:basedOn w:val="Normal"/>
    <w:next w:val="BodyText"/>
    <w:qFormat/>
    <w:pPr>
      <w:keepNext w:val="true"/>
      <w:keepLines/>
      <w:numPr>
        <w:ilvl w:val="4"/>
        <w:numId w:val="1"/>
      </w:numPr>
      <w:spacing w:lineRule="atLeast" w:line="240"/>
      <w:outlineLvl w:val="4"/>
    </w:pPr>
    <w:rPr>
      <w:rFonts w:ascii="Garamond" w:hAnsi="Garamond" w:cs="Garamond"/>
      <w:kern w:val="2"/>
      <w:sz w:val="22"/>
    </w:rPr>
  </w:style>
  <w:style w:type="character" w:styleId="WW8Num1z0">
    <w:name w:val="WW8Num1z0"/>
    <w:qFormat/>
    <w:rPr>
      <w:rFonts w:ascii="Symbol" w:hAnsi="Symbol" w:cs="Symbol"/>
    </w:rPr>
  </w:style>
  <w:style w:type="character" w:styleId="DefaultParagraphFont">
    <w:name w:val="Default Paragraph Font"/>
    <w:qFormat/>
    <w:rPr/>
  </w:style>
  <w:style w:type="character" w:styleId="MessageHeaderLabel">
    <w:name w:val="Message Header Label"/>
    <w:qFormat/>
    <w:rPr>
      <w:b/>
      <w:sz w:val="18"/>
    </w:rPr>
  </w:style>
  <w:style w:type="character" w:styleId="PageNumber">
    <w:name w:val="page number"/>
    <w:rPr/>
  </w:style>
  <w:style w:type="character" w:styleId="Slogan">
    <w:name w:val="Slogan"/>
    <w:basedOn w:val="DefaultParagraphFont"/>
    <w:qFormat/>
    <w:rPr>
      <w:i/>
      <w:spacing w:val="70"/>
      <w:sz w:val="21"/>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jc w:val="both"/>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next w:val="Normal"/>
    <w:qFormat/>
    <w:pPr>
      <w:spacing w:lineRule="atLeast" w:line="220"/>
    </w:pPr>
    <w:rPr>
      <w:rFonts w:ascii="Garamond" w:hAnsi="Garamond" w:cs="Garamond"/>
      <w:sz w:val="22"/>
    </w:rPr>
  </w:style>
  <w:style w:type="paragraph" w:styleId="CompanyName">
    <w:name w:val="Company Name"/>
    <w:basedOn w:val="BodyText"/>
    <w:qFormat/>
    <w:pPr>
      <w:keepLines/>
      <w:spacing w:before="0" w:after="40"/>
      <w:ind w:hanging="0" w:start="0" w:end="0"/>
      <w:jc w:val="center"/>
    </w:pPr>
    <w:rPr>
      <w:caps/>
      <w:spacing w:val="75"/>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jc w:val="center"/>
    </w:pPr>
    <w:rPr>
      <w:rFonts w:ascii="Garamond" w:hAnsi="Garamond" w:eastAsia="Times New Roman" w:cs="Garamond"/>
      <w:b/>
      <w:caps/>
      <w:color w:val="auto"/>
      <w:spacing w:val="20"/>
      <w:sz w:val="18"/>
      <w:szCs w:val="20"/>
      <w:lang w:val="en-US" w:eastAsia="zh-CN" w:bidi="hi-IN"/>
    </w:rPr>
  </w:style>
  <w:style w:type="paragraph" w:styleId="Enclosure">
    <w:name w:val="Enclosure"/>
    <w:basedOn w:val="BodyText"/>
    <w:next w:val="Normal"/>
    <w:qFormat/>
    <w:pPr>
      <w:keepLines/>
      <w:spacing w:before="220" w:after="240"/>
      <w:ind w:hanging="0" w:start="0" w:end="0"/>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ind w:hanging="0" w:start="0" w:end="-240"/>
      <w:jc w:val="center"/>
    </w:pPr>
    <w:rPr>
      <w:kern w:val="2"/>
    </w:rPr>
  </w:style>
  <w:style w:type="paragraph" w:styleId="Header">
    <w:name w:val="header"/>
    <w:basedOn w:val="HeaderBase"/>
    <w:pPr>
      <w:spacing w:before="0" w:after="660"/>
      <w:ind w:hanging="0" w:start="0" w:end="0"/>
      <w:jc w:val="center"/>
    </w:pPr>
    <w:rPr>
      <w:smallCaps/>
      <w:kern w:val="2"/>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MessageHeader">
    <w:name w:val="Message Header"/>
    <w:basedOn w:val="BodyText"/>
    <w:qFormat/>
    <w:pPr>
      <w:keepLines/>
      <w:spacing w:before="0" w:after="120"/>
      <w:ind w:hanging="1080" w:start="1080" w:end="0"/>
      <w:jc w:val="start"/>
    </w:pPr>
    <w:rPr>
      <w:caps/>
      <w:sz w:val="18"/>
    </w:rPr>
  </w:style>
  <w:style w:type="paragraph" w:styleId="MessageHeaderFirst">
    <w:name w:val="Message Header First"/>
    <w:basedOn w:val="MessageHeader"/>
    <w:next w:val="MessageHeader"/>
    <w:qFormat/>
    <w:pPr>
      <w:spacing w:before="360" w:after="120"/>
    </w:pPr>
    <w:rPr/>
  </w:style>
  <w:style w:type="paragraph" w:styleId="MessageHeaderLast">
    <w:name w:val="Message Header Last"/>
    <w:basedOn w:val="MessageHeader"/>
    <w:next w:val="BodyText"/>
    <w:qFormat/>
    <w:pPr>
      <w:pBdr>
        <w:bottom w:val="single" w:sz="6" w:space="18" w:color="808080"/>
      </w:pBdr>
      <w:spacing w:before="0" w:after="360"/>
    </w:pPr>
    <w:rPr/>
  </w:style>
  <w:style w:type="paragraph" w:styleId="NormalIndent">
    <w:name w:val="Normal Indent"/>
    <w:basedOn w:val="Normal"/>
    <w:qFormat/>
    <w:pPr>
      <w:ind w:hanging="0" w:start="720" w:end="0"/>
    </w:pPr>
    <w:rPr/>
  </w:style>
  <w:style w:type="paragraph" w:styleId="ReturnAddress">
    <w:name w:val="Return Address"/>
    <w:qFormat/>
    <w:pPr>
      <w:widowControl/>
      <w:bidi w:val="0"/>
      <w:spacing w:lineRule="atLeast" w:line="240"/>
      <w:ind w:hanging="0" w:start="0" w:end="-240"/>
      <w:jc w:val="center"/>
    </w:pPr>
    <w:rPr>
      <w:rFonts w:ascii="Garamond" w:hAnsi="Garamond" w:eastAsia="Times New Roman" w:cs="Garamond"/>
      <w:caps/>
      <w:color w:val="auto"/>
      <w:spacing w:val="30"/>
      <w:sz w:val="15"/>
      <w:szCs w:val="20"/>
      <w:lang w:val="en-US" w:eastAsia="zh-CN" w:bidi="hi-IN"/>
    </w:rPr>
  </w:style>
  <w:style w:type="paragraph" w:styleId="Signature">
    <w:name w:val="Signature"/>
    <w:basedOn w:val="BodyText"/>
    <w:next w:val="Normal"/>
    <w:pPr>
      <w:keepNext w:val="true"/>
      <w:keepLines/>
      <w:spacing w:before="660" w:after="0"/>
    </w:pPr>
    <w:rPr/>
  </w:style>
  <w:style w:type="paragraph" w:styleId="SignatureJobTitle">
    <w:name w:val="Signature Job Title"/>
    <w:basedOn w:val="Signature"/>
    <w:next w:val="Normal"/>
    <w:qFormat/>
    <w:pPr>
      <w:spacing w:before="0" w:after="0"/>
      <w:ind w:hanging="0" w:start="0" w:end="0"/>
    </w:pPr>
    <w:rPr/>
  </w:style>
  <w:style w:type="paragraph" w:styleId="SignatureName">
    <w:name w:val="Signature Name"/>
    <w:basedOn w:val="Signature"/>
    <w:next w:val="SignatureJobTitle"/>
    <w:qFormat/>
    <w:pPr>
      <w:ind w:hanging="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Elegant Memo</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2000-08-03T13:12:00Z</dcterms:created>
  <dc:creator>SEdmonds</dc:creator>
  <dc:description/>
  <dc:language>en-CA</dc:language>
  <cp:lastModifiedBy>SEdmonds</cp:lastModifiedBy>
  <dcterms:modified xsi:type="dcterms:W3CDTF">2000-08-03T17:24:00Z</dcterms:modified>
  <cp:revision>7</cp:revision>
  <dc:subject/>
  <dc:title>Memo</dc:title>
</cp:coreProperties>
</file>