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b/>
          <w:u w:val="single"/>
        </w:rPr>
      </w:pPr>
      <w:r>
        <w:rPr>
          <w:b/>
          <w:u w:val="single"/>
        </w:rPr>
        <w:t>Regulatory Out</w:t>
      </w:r>
    </w:p>
    <w:p>
      <w:pPr>
        <w:pStyle w:val="Normal"/>
        <w:spacing w:lineRule="auto" w:line="480"/>
        <w:rPr/>
      </w:pPr>
      <w:r>
        <w:rPr/>
        <w:t xml:space="preserve">If any Governmental Body changes, modifies, or rejects any or all of the terms of a transaction under this Agreement, the adversely affected Party may terminate the transaction, with such transaction terminated upon written notice delivered to the other Party.  Before terminating the transaction by providing such written notice, however, the adversely affected Party shall contact the other Party and negotiate in good faith to attempt to develop new terms for the transaction that would be mutually acceptable to the Parties and consistent with the Governmental Body order.  </w:t>
      </w:r>
    </w:p>
    <w:p>
      <w:pPr>
        <w:pStyle w:val="Normal"/>
        <w:spacing w:lineRule="auto" w:line="480"/>
        <w:rPr/>
      </w:pPr>
      <w:r>
        <w:rPr/>
        <w:tab/>
      </w:r>
      <w:r>
        <w:rPr>
          <w:b/>
        </w:rPr>
        <w:t>[New Definition]</w:t>
      </w:r>
      <w:r>
        <w:rPr/>
        <w:t xml:space="preserve"> Governmental Body-A federal or state governmental agency, regulatory body, or legislature with the authority to change, modify, or reject any or all of the terms of a transaction under this Agreement or with the authority to take any other action which affects performance under this Agreement.  Governmental Body shall not include any federal or state governmental agencies or entities that are Parties to this Agreement.</w:t>
      </w:r>
    </w:p>
    <w:p>
      <w:pPr>
        <w:pStyle w:val="Normal"/>
        <w:spacing w:lineRule="auto" w:line="480"/>
        <w:rPr>
          <w:b/>
          <w:u w:val="single"/>
        </w:rPr>
      </w:pPr>
      <w:r>
        <w:rPr>
          <w:b/>
          <w:u w:val="single"/>
        </w:rPr>
        <w:t>Floating Prices and Fallback Procedure for Market Disruption</w:t>
      </w:r>
    </w:p>
    <w:p>
      <w:pPr>
        <w:pStyle w:val="Normal"/>
        <w:spacing w:lineRule="auto" w:line="480"/>
        <w:ind w:hanging="720" w:start="720" w:end="0"/>
        <w:rPr/>
      </w:pPr>
      <w:r>
        <w:rPr/>
        <w:t>__.</w:t>
        <w:tab/>
        <w:t>In the event the Parties intend that the price for a transaction is to be based on an index, exchange or any other kind of variable reference price (such price being a “Floating Price”), the Parties shall specify the “Floating Price” to be used to calculate the amounts in a Confirmation due seller for that transaction Agreement.</w:t>
      </w:r>
    </w:p>
    <w:p>
      <w:pPr>
        <w:pStyle w:val="Normal"/>
        <w:spacing w:lineRule="auto" w:line="480"/>
        <w:ind w:hanging="720" w:start="720" w:end="0"/>
        <w:rPr/>
      </w:pPr>
      <w:r>
        <w:rPr/>
        <w:t>__.</w:t>
        <w:tab/>
        <w:t xml:space="preserve">Market Disruption.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the parties who shall each obtain a dealer quote and the Floating Price shall be the average of the two quotes.  </w:t>
      </w:r>
    </w:p>
    <w:p>
      <w:pPr>
        <w:pStyle w:val="Normal"/>
        <w:spacing w:lineRule="auto" w:line="480"/>
        <w:ind w:start="1440" w:end="0"/>
        <w:rPr/>
      </w:pPr>
      <w:r>
        <w:rPr/>
        <w:t>“</w:t>
      </w:r>
      <w:r>
        <w:rPr/>
        <w:t>Determination Period” means each calendar month during the term of the relevant Transaction; provided that if the term of the Transaction is less than one calendar month the Determination Period shall be the term of the Transaction.</w:t>
      </w:r>
    </w:p>
    <w:p>
      <w:pPr>
        <w:pStyle w:val="Normal"/>
        <w:spacing w:lineRule="auto" w:line="480"/>
        <w:ind w:start="1440" w:end="0"/>
        <w:rPr/>
      </w:pPr>
      <w:r>
        <w:rPr/>
        <w:t>“</w:t>
      </w:r>
      <w:r>
        <w:rPr/>
        <w:t>Market Disruption Event”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lineRule="auto" w:line="480"/>
        <w:ind w:start="1440" w:end="0"/>
        <w:rPr/>
      </w:pPr>
      <w:r>
        <w:rPr/>
        <w:t>“</w:t>
      </w:r>
      <w:r>
        <w:rPr/>
        <w:t>Trading Day” means a day in respect of which the relevant price source published the relevant price.</w:t>
      </w:r>
    </w:p>
    <w:p>
      <w:pPr>
        <w:pStyle w:val="Normal"/>
        <w:spacing w:lineRule="auto" w:line="480"/>
        <w:ind w:hanging="720" w:start="720" w:end="0"/>
        <w:rPr/>
      </w:pPr>
      <w:r>
        <w:rPr/>
        <w:t>__.</w:t>
        <w:tab/>
        <w:t>Corrections to Published Prices.  For purposes of determining the relevant prices for any day, if the price published or announced on a given day and used or to be used to determine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rate specified in Section 9.3 or any applicable Confirmation Agreement for the period from and including the day on which payment originally was (or was not) made to but excluding the day of payment of the refund or payment resulting from that correction.</w:t>
      </w:r>
    </w:p>
    <w:p>
      <w:pPr>
        <w:pStyle w:val="Normal"/>
        <w:spacing w:lineRule="auto" w:line="480"/>
        <w:ind w:hanging="720" w:start="720" w:end="0"/>
        <w:rPr/>
      </w:pPr>
      <w:r>
        <w:rPr/>
        <w:t>__.</w:t>
        <w:tab/>
        <w:t>Calculation of Floating Price.  For the purposes of the calculation of a Floating Price,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p>
    <w:p>
      <w:pPr>
        <w:pStyle w:val="Normal"/>
        <w:spacing w:lineRule="auto" w:line="480"/>
        <w:rPr>
          <w:b/>
          <w:u w:val="single"/>
        </w:rPr>
      </w:pPr>
      <w:r>
        <w:rPr>
          <w:b/>
          <w:u w:val="single"/>
        </w:rPr>
        <w:t>Indemnification</w:t>
      </w:r>
    </w:p>
    <w:p>
      <w:pPr>
        <w:pStyle w:val="Normal"/>
        <w:spacing w:lineRule="auto" w:line="480"/>
        <w:rPr/>
      </w:pPr>
      <w:r>
        <w:rPr/>
        <w:t>Each Party shall indemnify, defend, and hold harmless the other for any losses, injuries, claims, liabilities or damages for personal injury or damage to property resulting from any negligent or willful act or omission of the indemnifying Party.  The indemnifying Party will, at its cost and expense, defend any such claim, action or proceeding, which may be commenced against the other Party by reason of or in connection with the indemnity provided under this Section, and the indemnifying Party shall pay any and all judgments which may be recovered in any such action, claim, or proceeding, and defray any and all expenses, including costs and reasonable attorney’s fees, which may be incurred in, or by reason of, such action, claim, or proceeding.</w:t>
      </w:r>
    </w:p>
    <w:p>
      <w:pPr>
        <w:pStyle w:val="Normal"/>
        <w:rPr>
          <w:b/>
          <w:u w:val="single"/>
        </w:rPr>
      </w:pPr>
      <w:r>
        <w:rPr>
          <w:b/>
          <w:u w:val="single"/>
        </w:rPr>
        <w:t>Suspension in the event of non-performance</w:t>
      </w:r>
    </w:p>
    <w:p>
      <w:pPr>
        <w:pStyle w:val="Normal"/>
        <w:rPr/>
      </w:pPr>
      <w:r>
        <w:rPr/>
      </w:r>
    </w:p>
    <w:p>
      <w:pPr>
        <w:pStyle w:val="Normal"/>
        <w:spacing w:lineRule="auto" w:line="480"/>
        <w:rPr/>
      </w:pPr>
      <w:r>
        <w:rPr/>
        <w:tab/>
        <w:t>The following is added as Subsection 21.4:</w:t>
      </w:r>
    </w:p>
    <w:p>
      <w:pPr>
        <w:pStyle w:val="Normal"/>
        <w:spacing w:before="0" w:after="240"/>
        <w:ind w:start="1440" w:end="1440"/>
        <w:rPr/>
      </w:pPr>
      <w:r>
        <w:rPr/>
        <w:t>“</w:t>
      </w:r>
      <w:r>
        <w:rPr/>
        <w:t>21.4  Notwithstanding, and in addition to the remedies provided herein, if a Party fails to schedule and/or deliver or receive, as applicable, all or part of the electric power or energy pursuant to the terms of this Agreement or a Confirmation Agreement, and such failure is not excused under the terms of this Agreement, the Service Schedule, or by the other Party’s failure to perform, then upon ________( ) Business Day(s) prior notice, and for so long as the non-performing Party fails to perform, the Performing Party shall have the right to suspend its performance under this Agreement and any or all Confirmation Agreements.”</w:t>
      </w:r>
    </w:p>
    <w:p>
      <w:pPr>
        <w:pStyle w:val="Normal"/>
        <w:spacing w:lineRule="auto" w:line="480"/>
        <w:rPr>
          <w:b/>
          <w:u w:val="single"/>
        </w:rPr>
      </w:pPr>
      <w:r>
        <w:rPr>
          <w:b/>
          <w:u w:val="single"/>
        </w:rPr>
        <w:t>Confirmation Agreement</w:t>
      </w:r>
    </w:p>
    <w:p>
      <w:pPr>
        <w:pStyle w:val="Normal"/>
        <w:spacing w:lineRule="auto" w:line="480"/>
        <w:rPr/>
      </w:pPr>
      <w:r>
        <w:rPr/>
        <w:tab/>
        <w:t>“When a Confirmation Agreement contains provisions, other than those provisions relating to the commercial terms of the transaction (e.g., price or special transmission conditions), which modify or supplement the general terms and conditions of this Agreement (e.g., arbitration provisions or additional representations and warranties), such provisions shall not be deemed to be accepted pursuant to Section 32.1 unless agreed to either orally or in writing by the Parties; provided that the foregoing shall not invalidate any transaction agreed to by the Parties.”</w:t>
      </w:r>
    </w:p>
    <w:p>
      <w:pPr>
        <w:pStyle w:val="Normal"/>
        <w:spacing w:lineRule="auto" w:line="480"/>
        <w:rPr/>
      </w:pPr>
      <w:r>
        <w:rPr/>
      </w:r>
    </w:p>
    <w:p>
      <w:pPr>
        <w:pStyle w:val="Normal"/>
        <w:rPr>
          <w:sz w:val="20"/>
        </w:rPr>
      </w:pPr>
      <w:r>
        <w:rPr>
          <w:sz w:val="20"/>
        </w:rPr>
        <w:t>wspp/wspp-Items for 5-31-01 meeting2</w:t>
      </w:r>
    </w:p>
    <w:sectPr>
      <w:footerReference w:type="default" r:id="rId2"/>
      <w:footerReference w:type="first" r:id="rId3"/>
      <w:type w:val="nextPage"/>
      <w:pgSz w:w="12240" w:h="15840"/>
      <w:pgMar w:left="216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2001-05-21T15:54:00Z</dcterms:created>
  <dc:creator>Winnie Howard</dc:creator>
  <dc:description/>
  <dc:language>en-CA</dc:language>
  <cp:lastModifiedBy>Winnie Howard</cp:lastModifiedBy>
  <cp:lastPrinted>2001-05-21T14:24:00Z</cp:lastPrinted>
  <dcterms:modified xsi:type="dcterms:W3CDTF">2001-05-21T15:58:00Z</dcterms:modified>
  <cp:revision>3</cp:revision>
  <dc:subject/>
  <dc:title>Regulatory Out</dc:title>
</cp:coreProperties>
</file>