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center"/>
        <w:rPr>
          <w:b/>
          <w:sz w:val="22"/>
          <w:u w:val="single"/>
        </w:rPr>
      </w:pPr>
      <w:r>
        <w:rPr>
          <w:b/>
          <w:sz w:val="22"/>
          <w:u w:val="single"/>
        </w:rPr>
        <w:t>COLLATERAL ANNEX</w:t>
      </w:r>
    </w:p>
    <w:p>
      <w:pPr>
        <w:pStyle w:val="Normal"/>
        <w:tabs>
          <w:tab w:val="clear" w:pos="720"/>
          <w:tab w:val="center" w:pos="4680" w:leader="none"/>
        </w:tabs>
        <w:suppressAutoHyphens w:val="true"/>
        <w:jc w:val="center"/>
        <w:rPr>
          <w:sz w:val="22"/>
        </w:rPr>
      </w:pPr>
      <w:r>
        <w:rPr>
          <w:b/>
          <w:sz w:val="22"/>
          <w:u w:val="single"/>
        </w:rPr>
        <w:t xml:space="preserve"> </w:t>
      </w:r>
      <w:r>
        <w:rPr>
          <w:b/>
          <w:sz w:val="22"/>
          <w:u w:val="single"/>
        </w:rPr>
        <w:t>TO THE WESTERN SYSTEMS POWER POOL AGREEMENT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 xml:space="preserve">This Collateral Annex, together with the Cover Sheet Elections, (collectively, the “Collateral Annex”) between _____________ ("Party A") and _____________ ("Party B"), supplements, forms a part of, and is subject to, the Western Systems Power Pool Agreement, including any other amendments and annexes thereto agreed between the Parties (the “WSPP Agreement”).  Capitalized terms used in this Collateral Annex but not defined herein shall have the meanings given such terms in the WSPP Agreement.  </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 xml:space="preserve"> The obligations of each Party under the WSPP Agreement shall be secured in accordance with the provisions of this Collateral Annex, which sets forth the conditions under which a Party will be required to deliver Performance Assurance, as well as the conditions under which a Party will release such Performance Assurance. To the extent there are any inconsistencies between the terms of the WSPP Agreement and this Collateral Annex, this Collateral Annex shall prevail.</w:t>
      </w:r>
    </w:p>
    <w:p>
      <w:pPr>
        <w:pStyle w:val="Normal"/>
        <w:tabs>
          <w:tab w:val="clear" w:pos="720"/>
          <w:tab w:val="left" w:pos="0" w:leader="none"/>
        </w:tabs>
        <w:suppressAutoHyphens w:val="true"/>
        <w:jc w:val="both"/>
        <w:rPr>
          <w:sz w:val="24"/>
        </w:rPr>
      </w:pPr>
      <w:r>
        <w:rPr>
          <w:sz w:val="24"/>
        </w:rPr>
        <w:t xml:space="preserve"> </w:t>
      </w:r>
    </w:p>
    <w:p>
      <w:pPr>
        <w:pStyle w:val="Normal"/>
        <w:tabs>
          <w:tab w:val="clear" w:pos="720"/>
          <w:tab w:val="left" w:pos="0" w:leader="none"/>
        </w:tabs>
        <w:suppressAutoHyphens w:val="true"/>
        <w:jc w:val="both"/>
        <w:rPr/>
      </w:pPr>
      <w:r>
        <w:rPr>
          <w:sz w:val="24"/>
        </w:rPr>
        <w:t>1.</w:t>
        <w:tab/>
      </w:r>
      <w:r>
        <w:rPr>
          <w:sz w:val="24"/>
          <w:u w:val="single"/>
        </w:rPr>
        <w:t>Definitions</w:t>
      </w:r>
      <w:r>
        <w:rPr>
          <w:sz w:val="24"/>
        </w:rPr>
        <w: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For purposes of this Collateral Annex, the following terms have the meanings set forth below:</w:t>
      </w:r>
    </w:p>
    <w:p>
      <w:pPr>
        <w:pStyle w:val="Normal"/>
        <w:spacing w:before="240" w:after="0"/>
        <w:ind w:firstLine="720" w:end="0"/>
        <w:jc w:val="both"/>
        <w:rPr/>
      </w:pPr>
      <w:r>
        <w:rPr>
          <w:sz w:val="24"/>
        </w:rPr>
        <w:t>“</w:t>
      </w:r>
      <w:r>
        <w:rPr>
          <w:sz w:val="24"/>
          <w:u w:val="single"/>
        </w:rPr>
        <w:t>Beneficiary Party</w:t>
      </w:r>
      <w:r>
        <w:rPr>
          <w:sz w:val="24"/>
        </w:rPr>
        <w:t>” means, at any time, the Party entitled to receive, or be the beneficiary of, Performance Assurance provided by, or on behalf of, the Posting Party hereunder.</w:t>
      </w:r>
    </w:p>
    <w:p>
      <w:pPr>
        <w:pStyle w:val="Normal"/>
        <w:spacing w:before="240" w:after="0"/>
        <w:ind w:firstLine="720" w:end="0"/>
        <w:jc w:val="both"/>
        <w:rPr/>
      </w:pPr>
      <w:r>
        <w:rPr>
          <w:sz w:val="24"/>
        </w:rPr>
        <w:t xml:space="preserve"> “</w:t>
      </w:r>
      <w:r>
        <w:rPr>
          <w:sz w:val="24"/>
          <w:u w:val="single"/>
        </w:rPr>
        <w:t>Cash</w:t>
      </w:r>
      <w:r>
        <w:rPr>
          <w:sz w:val="24"/>
        </w:rPr>
        <w:t>” means U.S. dollars held by, or on behalf of, a Party as Performance Assurance hereunder.</w:t>
      </w:r>
    </w:p>
    <w:p>
      <w:pPr>
        <w:pStyle w:val="Normal"/>
        <w:spacing w:before="240" w:after="0"/>
        <w:ind w:firstLine="720" w:end="0"/>
        <w:jc w:val="both"/>
        <w:rPr/>
      </w:pPr>
      <w:r>
        <w:rPr>
          <w:sz w:val="24"/>
        </w:rPr>
        <w:t>"</w:t>
      </w:r>
      <w:r>
        <w:rPr>
          <w:sz w:val="24"/>
          <w:u w:val="single"/>
        </w:rPr>
        <w:t>Collateral Threshold</w:t>
      </w:r>
      <w:r>
        <w:rPr>
          <w:sz w:val="24"/>
        </w:rPr>
        <w:t>" means, with respect to a Party, the collateral threshold, if any, set forth on the Cover Sheet Elections for a particular Party.</w:t>
      </w:r>
    </w:p>
    <w:p>
      <w:pPr>
        <w:pStyle w:val="BodyTextIndent2"/>
        <w:spacing w:before="0" w:after="0"/>
        <w:ind w:firstLine="720" w:start="0" w:end="0"/>
        <w:rPr>
          <w:rFonts w:ascii="Times New Roman" w:hAnsi="Times New Roman" w:cs="Times New Roman"/>
          <w:sz w:val="24"/>
        </w:rPr>
      </w:pPr>
      <w:r>
        <w:rPr>
          <w:rFonts w:cs="Times New Roman" w:ascii="Times New Roman" w:hAnsi="Times New Roman"/>
          <w:sz w:val="24"/>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Credit Rating</w:t>
      </w:r>
      <w:r>
        <w:rPr>
          <w:rFonts w:cs="Times New Roman" w:ascii="Times New Roman" w:hAnsi="Times New Roman"/>
          <w:sz w:val="24"/>
        </w:rPr>
        <w:t xml:space="preserve">" means with respect to a Party (or its Guarantor, as the case may be) or entity, on any date of determination, the respective ratings then assigned to such Party’s (or its Guarantor's, as the case may be) or entity’s unsecured, senior long-term debt or deposit obligations (not supported by third party credit enhancement) by S&amp;P, Moody’s or the other specified rating agency or agencies.  </w:t>
      </w:r>
    </w:p>
    <w:p>
      <w:pPr>
        <w:pStyle w:val="Normal"/>
        <w:spacing w:before="240" w:after="0"/>
        <w:ind w:firstLine="720" w:end="0"/>
        <w:jc w:val="both"/>
        <w:rPr/>
      </w:pPr>
      <w:r>
        <w:rPr>
          <w:sz w:val="24"/>
        </w:rPr>
        <w:t>"</w:t>
      </w:r>
      <w:r>
        <w:rPr>
          <w:sz w:val="24"/>
          <w:u w:val="single"/>
        </w:rPr>
        <w:t>Letter of Credit</w:t>
      </w:r>
      <w:r>
        <w:rPr>
          <w:sz w:val="24"/>
        </w:rPr>
        <w:t xml:space="preserve">" means an irrevocable, transferable, standby letter of credit, issued by a major U.S. commercial bank or the U.S. branch office of a foreign bank with, in either case,  a Credit Rating of at least (a) "A-" by S&amp;P and "A3" by Moody's, if such entity is rated by both S&amp;P and Moody’s or (b) "A-" by S&amp;P  or "A3" by Moody's, if such entity is rated by either S&amp;P or Moody’s but not both, substantially in the form set forth in </w:t>
      </w:r>
      <w:r>
        <w:rPr>
          <w:sz w:val="24"/>
          <w:u w:val="single"/>
        </w:rPr>
        <w:t>Schedule 1</w:t>
      </w:r>
      <w:r>
        <w:rPr>
          <w:sz w:val="24"/>
        </w:rPr>
        <w:t xml:space="preserve"> attached hereto, with such changes to the terms in that form as the issuing bank may require and as may be acceptable to the beneficiary thereof.</w:t>
      </w:r>
    </w:p>
    <w:p>
      <w:pPr>
        <w:pStyle w:val="Normal"/>
        <w:jc w:val="both"/>
        <w:rPr>
          <w:sz w:val="24"/>
        </w:rPr>
      </w:pPr>
      <w:r>
        <w:rPr>
          <w:sz w:val="24"/>
        </w:rPr>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Pr>
    </w:p>
    <w:p>
      <w:pPr>
        <w:pStyle w:val="Normal"/>
        <w:ind w:firstLine="720" w:end="0"/>
        <w:jc w:val="both"/>
        <w:rPr/>
      </w:pPr>
      <w:r>
        <w:rPr>
          <w:sz w:val="24"/>
        </w:rPr>
        <w:t>"</w:t>
      </w:r>
      <w:r>
        <w:rPr>
          <w:sz w:val="24"/>
          <w:u w:val="single"/>
        </w:rPr>
        <w:t>Letter of Credit Default</w:t>
      </w:r>
      <w:r>
        <w:rPr>
          <w:sz w:val="24"/>
        </w:rPr>
        <w:t xml:space="preserve">" means with respect to an outstanding Letter of Credit, the occurrence of any of the following events:  (a) the issuer of such Letter of Credit shall fail to maintain a Credit Rating of at least (i) "A-" by S&amp;P or "A3" by Moody’s, if such issuer is rated by both S&amp;P and Moody’s, (ii) “A-“ by S&amp;P, if such issuer is rated only by S&amp;P, or (iii) "A3" by Moody’s, if such issuer is rated only by Moody’s; (b) the issuer of the Letter of Credit shall fail to comply with or perform its obligations under such Letter of Credit; (c) the issuer of such Letter of Credit shall disaffirm, disclaim, repudiate or reject, in whole or in part, or challenge the validity of, such Letter of Credit; (d) such Letter of Credit shall expire or terminate, or shall fail or cease to be in full force and effect at any time during the term of any Transaction under the WSPP Agreement, in any such case without replacement; or (e) the issuer of such Letter of Credit shall become Bankrupt; </w:t>
      </w:r>
      <w:r>
        <w:rPr>
          <w:sz w:val="24"/>
          <w:u w:val="single"/>
        </w:rPr>
        <w:t>provided</w:t>
      </w:r>
      <w:r>
        <w:rPr>
          <w:sz w:val="24"/>
        </w:rPr>
        <w:t xml:space="preserve">, </w:t>
      </w:r>
      <w:r>
        <w:rPr>
          <w:sz w:val="24"/>
          <w:u w:val="single"/>
        </w:rPr>
        <w:t>however</w:t>
      </w:r>
      <w:r>
        <w:rPr>
          <w:sz w:val="24"/>
        </w:rPr>
        <w:t>, that no Letter of Credit Default shall occur in any event with respect to a Letter of Credit after the time such Letter of Credit is required to be canceled or returned to a Party in accordance with the terms of this Collateral Annex.</w:t>
      </w:r>
    </w:p>
    <w:p>
      <w:pPr>
        <w:pStyle w:val="BodyText"/>
        <w:widowControl/>
        <w:rPr>
          <w:rFonts w:ascii="Times New Roman" w:hAnsi="Times New Roman" w:cs="Times New Roman"/>
          <w:sz w:val="24"/>
        </w:rPr>
      </w:pPr>
      <w:r>
        <w:rPr>
          <w:rFonts w:cs="Times New Roman" w:ascii="Times New Roman" w:hAnsi="Times New Roman"/>
          <w:sz w:val="24"/>
        </w:rPr>
      </w:r>
    </w:p>
    <w:p>
      <w:pPr>
        <w:pStyle w:val="BodyText"/>
        <w:widowControl/>
        <w:ind w:firstLine="720" w:end="0"/>
        <w:rPr/>
      </w:pPr>
      <w:r>
        <w:rPr>
          <w:rFonts w:cs="Times New Roman" w:ascii="Times New Roman" w:hAnsi="Times New Roman"/>
          <w:sz w:val="24"/>
        </w:rPr>
        <w:t>“</w:t>
      </w:r>
      <w:r>
        <w:rPr>
          <w:rFonts w:cs="Times New Roman" w:ascii="Times New Roman" w:hAnsi="Times New Roman"/>
          <w:sz w:val="24"/>
          <w:u w:val="single"/>
        </w:rPr>
        <w:t>Material Adverse Charge</w:t>
      </w:r>
      <w:r>
        <w:rPr>
          <w:rFonts w:cs="Times New Roman" w:ascii="Times New Roman" w:hAnsi="Times New Roman"/>
          <w:sz w:val="24"/>
        </w:rPr>
        <w:t>” with respect to a Party, has the meaning attributed to it for such Party on the Cover Sheet Elections.</w:t>
      </w:r>
    </w:p>
    <w:p>
      <w:pPr>
        <w:pStyle w:val="BodyText"/>
        <w:widowControl/>
        <w:ind w:firstLine="720" w:end="0"/>
        <w:rPr>
          <w:rFonts w:ascii="Times New Roman" w:hAnsi="Times New Roman" w:cs="Times New Roman"/>
          <w:sz w:val="24"/>
        </w:rPr>
      </w:pPr>
      <w:r>
        <w:rPr>
          <w:rFonts w:cs="Times New Roman" w:ascii="Times New Roman" w:hAnsi="Times New Roman"/>
          <w:sz w:val="24"/>
        </w:rPr>
      </w:r>
    </w:p>
    <w:p>
      <w:pPr>
        <w:pStyle w:val="BodyText"/>
        <w:widowControl/>
        <w:ind w:firstLine="720" w:end="0"/>
        <w:rPr>
          <w:rFonts w:ascii="Times New Roman" w:hAnsi="Times New Roman" w:cs="Times New Roman"/>
          <w:b/>
          <w:sz w:val="24"/>
        </w:rPr>
      </w:pPr>
      <w:r>
        <w:rPr>
          <w:rFonts w:cs="Times New Roman" w:ascii="Times New Roman" w:hAnsi="Times New Roman"/>
          <w:sz w:val="24"/>
        </w:rPr>
        <w:t>"</w:t>
      </w:r>
      <w:r>
        <w:rPr>
          <w:rFonts w:cs="Times New Roman" w:ascii="Times New Roman" w:hAnsi="Times New Roman"/>
          <w:sz w:val="24"/>
          <w:u w:val="single"/>
        </w:rPr>
        <w:t>Minimum Transfer Amount</w:t>
      </w:r>
      <w:r>
        <w:rPr>
          <w:rFonts w:cs="Times New Roman" w:ascii="Times New Roman" w:hAnsi="Times New Roman"/>
          <w:sz w:val="24"/>
        </w:rPr>
        <w:t xml:space="preserve">" </w:t>
      </w:r>
      <w:r>
        <w:rPr>
          <w:sz w:val="24"/>
        </w:rPr>
        <w:t>means, with respect to a Party, the amount, if any, set forth on the Cover Sheet Elections for such Party.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4"/>
        </w:rPr>
      </w:pPr>
      <w:r>
        <w:rPr>
          <w:sz w:val="24"/>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pPr>
      <w:r>
        <w:rPr>
          <w:sz w:val="24"/>
        </w:rPr>
        <w:t>"</w:t>
      </w:r>
      <w:r>
        <w:rPr>
          <w:sz w:val="24"/>
          <w:u w:val="single"/>
        </w:rPr>
        <w:t>Performance Assurance</w:t>
      </w:r>
      <w:r>
        <w:rPr>
          <w:sz w:val="24"/>
        </w:rPr>
        <w:t>" means collateral in the form of Cash, Letter(s) of Credit, or other security acceptable to the Beneficiary Party.  Interest on Cash received and held by a Party will constitute Performance Assurance in the form of Cash.  Any guaranty agreement executed by a Guarantor of a Party shall not constitute Performance Assurance hereunder.</w:t>
      </w:r>
    </w:p>
    <w:p>
      <w:pPr>
        <w:pStyle w:val="PASSParawIndent"/>
        <w:rPr/>
      </w:pPr>
      <w:r>
        <w:rPr>
          <w:sz w:val="24"/>
        </w:rPr>
        <w:t>“</w:t>
      </w:r>
      <w:r>
        <w:rPr>
          <w:sz w:val="24"/>
          <w:u w:val="single"/>
        </w:rPr>
        <w:t>Posting Party</w:t>
      </w:r>
      <w:r>
        <w:rPr>
          <w:sz w:val="24"/>
        </w:rPr>
        <w:t>” means, at any time, the Party required to post Performance Assurance to, or for the benefit of, the Beneficiary Party hereunder.</w:t>
      </w:r>
    </w:p>
    <w:p>
      <w:pPr>
        <w:pStyle w:val="PASSParawIndent"/>
        <w:rPr/>
      </w:pPr>
      <w:r>
        <w:rPr>
          <w:rFonts w:eastAsia="CG Times"/>
          <w:sz w:val="24"/>
        </w:rPr>
        <w:t xml:space="preserve"> </w:t>
      </w:r>
      <w:r>
        <w:rPr>
          <w:rFonts w:cs="Times New Roman" w:ascii="Times New Roman" w:hAnsi="Times New Roman"/>
          <w:sz w:val="24"/>
        </w:rPr>
        <w:t>“</w:t>
      </w:r>
      <w:r>
        <w:rPr>
          <w:rFonts w:cs="Times New Roman" w:ascii="Times New Roman" w:hAnsi="Times New Roman"/>
          <w:sz w:val="24"/>
          <w:u w:val="single"/>
        </w:rPr>
        <w:t>Qualified Institution</w:t>
      </w:r>
      <w:r>
        <w:rPr>
          <w:rFonts w:cs="Times New Roman" w:ascii="Times New Roman" w:hAnsi="Times New Roman"/>
          <w:sz w:val="24"/>
        </w:rPr>
        <w:t xml:space="preserve">” means a commercial bank or trust company organized under the laws of the United States or a political subdivision thereof, with a Credit Rating of at least </w:t>
      </w:r>
      <w:r>
        <w:rPr>
          <w:sz w:val="24"/>
        </w:rPr>
        <w:t>(a) "A-" by S&amp;P and "A3" by Moody's, if such entity is rated by both S&amp;P and Moody’s or (b) "A-" by S&amp;P or "A3" by Moody's, if such entity is rated by either S&amp;P or Moody’s but not both,</w:t>
      </w:r>
      <w:r>
        <w:rPr>
          <w:rFonts w:cs="Times New Roman" w:ascii="Times New Roman" w:hAnsi="Times New Roman"/>
          <w:sz w:val="24"/>
        </w:rPr>
        <w:t xml:space="preserve"> and having a capital and surplus of at least $1,000,000,000.</w:t>
      </w:r>
    </w:p>
    <w:p>
      <w:pPr>
        <w:pStyle w:val="Normal"/>
        <w:ind w:firstLine="360" w:end="0"/>
        <w:jc w:val="both"/>
        <w:rPr>
          <w:rFonts w:ascii="Times New Roman" w:hAnsi="Times New Roman" w:cs="Times New Roman"/>
          <w:sz w:val="24"/>
        </w:rPr>
      </w:pPr>
      <w:r>
        <w:rPr>
          <w:rFonts w:cs="Times New Roman"/>
          <w:sz w:val="24"/>
        </w:rPr>
      </w:r>
    </w:p>
    <w:p>
      <w:pPr>
        <w:pStyle w:val="Normal"/>
        <w:tabs>
          <w:tab w:val="clear" w:pos="720"/>
          <w:tab w:val="left" w:pos="0" w:leader="none"/>
        </w:tabs>
        <w:suppressAutoHyphens w:val="true"/>
        <w:ind w:firstLine="720" w:end="0"/>
        <w:jc w:val="both"/>
        <w:rPr/>
      </w:pPr>
      <w:r>
        <w:rPr>
          <w:sz w:val="24"/>
        </w:rPr>
        <w:t>“</w:t>
      </w:r>
      <w:r>
        <w:rPr>
          <w:sz w:val="24"/>
          <w:u w:val="single"/>
        </w:rPr>
        <w:t>Reference Market-maker</w:t>
      </w:r>
      <w:r>
        <w:rPr>
          <w:sz w:val="24"/>
        </w:rPr>
        <w:t xml:space="preserve">” means a leading dealer in the relevant market selected by the Party calculating the Termination Payment in good faith from among dealers of the highest credit standing which satisfy all the criteria that such Party applies generally at the time in deciding whether to offer or to make an extension of credit.  </w:t>
      </w:r>
    </w:p>
    <w:p>
      <w:pPr>
        <w:pStyle w:val="Normal"/>
        <w:tabs>
          <w:tab w:val="clear" w:pos="720"/>
          <w:tab w:val="left" w:pos="0" w:leader="none"/>
        </w:tabs>
        <w:suppressAutoHyphens w:val="true"/>
        <w:ind w:firstLine="720" w:end="0"/>
        <w:jc w:val="both"/>
        <w:rPr>
          <w:sz w:val="24"/>
        </w:rPr>
      </w:pPr>
      <w:r>
        <w:rPr>
          <w:sz w:val="24"/>
        </w:rPr>
      </w:r>
    </w:p>
    <w:p>
      <w:pPr>
        <w:pStyle w:val="Normal"/>
        <w:tabs>
          <w:tab w:val="clear" w:pos="720"/>
          <w:tab w:val="left" w:pos="0" w:leader="none"/>
        </w:tabs>
        <w:suppressAutoHyphens w:val="true"/>
        <w:ind w:firstLine="720" w:end="0"/>
        <w:jc w:val="both"/>
        <w:rPr/>
      </w:pPr>
      <w:r>
        <w:rPr>
          <w:sz w:val="24"/>
        </w:rPr>
        <w:t>"</w:t>
      </w:r>
      <w:r>
        <w:rPr>
          <w:sz w:val="24"/>
          <w:u w:val="single"/>
        </w:rPr>
        <w:t>Rounding Amount</w:t>
      </w:r>
      <w:r>
        <w:rPr>
          <w:sz w:val="24"/>
        </w:rPr>
        <w:t>" means, with respect to a Party, the amount, if any, set forth in the Cover Sheet Elections for such Party.</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ab/>
        <w:t>“</w:t>
      </w:r>
      <w:r>
        <w:rPr>
          <w:sz w:val="24"/>
          <w:u w:val="single"/>
        </w:rPr>
        <w:t>Termination Payment</w:t>
      </w:r>
      <w:r>
        <w:rPr>
          <w:sz w:val="24"/>
        </w:rPr>
        <w:t>” means, for purposes of this Collateral Annex, the Termination Payment that would be owed by a Defaulting Party to a Non-Defaulting Party under Section 22.3 of the WSPP Agreement.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2.</w:t>
        <w:tab/>
      </w:r>
      <w:r>
        <w:rPr>
          <w:sz w:val="24"/>
          <w:u w:val="single"/>
        </w:rPr>
        <w:t>Encumbrance; Grant of Security Interest</w:t>
      </w:r>
      <w:r>
        <w:rPr>
          <w:sz w:val="24"/>
        </w:rPr>
        <w:t xml:space="preserve">.  </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ab/>
        <w:t>As security for the prompt and complete payment of all amounts due or that may become due from a Party to the other Party and the performance by a Party of all covenants and obligations to be performed by it pursuant to this Collateral Annex, the WSPP Agreement, all outstanding Confirmation Agreements and any other documents, instruments or agreements executed in connection therewith (collectively, the "</w:t>
      </w:r>
      <w:r>
        <w:rPr>
          <w:sz w:val="24"/>
          <w:u w:val="single"/>
        </w:rPr>
        <w:t>Obligations</w:t>
      </w:r>
      <w:r>
        <w:rPr>
          <w:sz w:val="24"/>
        </w:rPr>
        <w:t>"), each Party hereby pledges, assigns, conveys and transfers to the other Party, and hereby grants to the other Party a present and continuing security interest in and to, and a general first lien upon and right of set off against, all Performance Assurance which has been or may in the future be transferred to, or received by, the other Party and/or its Custodian, and all dividends, interest, and other proceeds from time to time received, receivable or otherwise distributed in respect of, or in exchange for, any or all of the foregoing and each Party agrees to take such action as the other Party reasonably requests in order to perfect the other Party's continuing security interest in, and lien on (and right of setoff against), such Performance Assurance.</w:t>
      </w:r>
    </w:p>
    <w:p>
      <w:pPr>
        <w:pStyle w:val="BodyText"/>
        <w:widowControl/>
        <w:rPr>
          <w:sz w:val="24"/>
        </w:rPr>
      </w:pPr>
      <w:r>
        <w:rPr>
          <w:sz w:val="24"/>
        </w:rPr>
      </w:r>
    </w:p>
    <w:p>
      <w:pPr>
        <w:pStyle w:val="Normal"/>
        <w:numPr>
          <w:ilvl w:val="0"/>
          <w:numId w:val="2"/>
        </w:numPr>
        <w:tabs>
          <w:tab w:val="clear" w:pos="720"/>
          <w:tab w:val="left" w:pos="0" w:leader="none"/>
        </w:tabs>
        <w:suppressAutoHyphens w:val="true"/>
        <w:jc w:val="both"/>
        <w:rPr>
          <w:sz w:val="24"/>
        </w:rPr>
      </w:pPr>
      <w:r>
        <w:rPr>
          <w:sz w:val="24"/>
          <w:u w:val="single"/>
        </w:rPr>
        <w:t>Additional Events of Default</w:t>
      </w:r>
      <w:r>
        <w:rPr>
          <w:sz w:val="24"/>
        </w:rPr>
        <w:t>.</w:t>
      </w:r>
    </w:p>
    <w:p>
      <w:pPr>
        <w:pStyle w:val="Normal"/>
        <w:tabs>
          <w:tab w:val="clear" w:pos="720"/>
          <w:tab w:val="left" w:pos="0" w:leader="none"/>
        </w:tabs>
        <w:suppressAutoHyphens w:val="true"/>
        <w:jc w:val="both"/>
        <w:rPr>
          <w:sz w:val="24"/>
        </w:rPr>
      </w:pPr>
      <w:r>
        <w:rPr>
          <w:sz w:val="24"/>
        </w:rPr>
      </w:r>
    </w:p>
    <w:p>
      <w:pPr>
        <w:pStyle w:val="BodyText3"/>
        <w:ind w:start="720" w:end="0"/>
        <w:rPr/>
      </w:pPr>
      <w:r>
        <w:rPr/>
        <w:t>The following events are added as additional Events of Default under Section 22.1 of the WSPP Agreement:</w:t>
      </w:r>
    </w:p>
    <w:p>
      <w:pPr>
        <w:pStyle w:val="Normal"/>
        <w:tabs>
          <w:tab w:val="clear" w:pos="720"/>
          <w:tab w:val="left" w:pos="0" w:leader="none"/>
        </w:tabs>
        <w:suppressAutoHyphens w:val="true"/>
        <w:ind w:start="720" w:end="0"/>
        <w:jc w:val="both"/>
        <w:rPr>
          <w:sz w:val="24"/>
        </w:rPr>
      </w:pPr>
      <w:r>
        <w:rPr>
          <w:sz w:val="24"/>
        </w:rPr>
      </w:r>
    </w:p>
    <w:p>
      <w:pPr>
        <w:pStyle w:val="Normal"/>
        <w:ind w:start="1440" w:end="0"/>
        <w:jc w:val="both"/>
        <w:rPr>
          <w:sz w:val="24"/>
        </w:rPr>
      </w:pPr>
      <w:r>
        <w:rPr>
          <w:sz w:val="24"/>
        </w:rPr>
        <w:t>“</w:t>
      </w:r>
      <w:r>
        <w:rPr>
          <w:sz w:val="24"/>
        </w:rPr>
        <w:t xml:space="preserve">(f) A Party, (the “Defaulting Party”) fails to establish, maintain, transfer, extend or return Performance Assurance when required pursuant to the Parties’ Collateral Annex; or  </w:t>
      </w:r>
    </w:p>
    <w:p>
      <w:pPr>
        <w:pStyle w:val="Normal"/>
        <w:tabs>
          <w:tab w:val="clear" w:pos="720"/>
          <w:tab w:val="left" w:pos="0" w:leader="none"/>
        </w:tabs>
        <w:suppressAutoHyphens w:val="true"/>
        <w:jc w:val="both"/>
        <w:rPr>
          <w:sz w:val="24"/>
        </w:rPr>
      </w:pPr>
      <w:r>
        <w:rPr>
          <w:sz w:val="24"/>
        </w:rPr>
      </w:r>
    </w:p>
    <w:p>
      <w:pPr>
        <w:pStyle w:val="Normal"/>
        <w:ind w:start="1440" w:end="0"/>
        <w:jc w:val="both"/>
        <w:rPr/>
      </w:pPr>
      <w:r>
        <w:rPr>
          <w:sz w:val="24"/>
        </w:rPr>
        <w:t>(g) The occurrence of a Material Adverse Change at any time with respect to a Party; provided that such Material Adverse Change shall not be considered an Event of Default if within one (1) Business Day of a request by the Party not suffering the Material Adverse Change, the Party suffering the Material Adverse Change provides, establishes and maintains for so long as the Material Adverse Change is continuing, Performance Assurance to the other Party (the “Beneficiary Party”), in</w:t>
      </w:r>
      <w:r>
        <w:rPr>
          <w:b/>
          <w:sz w:val="24"/>
        </w:rPr>
        <w:t xml:space="preserve"> </w:t>
      </w:r>
      <w:r>
        <w:rPr>
          <w:sz w:val="24"/>
        </w:rPr>
        <w:t xml:space="preserve">an amount equal to the </w:t>
      </w:r>
      <w:r>
        <w:rPr>
          <w:sz w:val="24"/>
          <w:u w:val="single"/>
        </w:rPr>
        <w:t>sum</w:t>
      </w:r>
      <w:r>
        <w:rPr>
          <w:sz w:val="24"/>
        </w:rPr>
        <w:t xml:space="preserve"> of: (a) the Termination Payment, if any, calculated by the Beneficiary Party as if the Party suffering the Material Adverse Change were the Defaulting Party under Section 22.2 of the WSPP Agreement </w:t>
      </w:r>
      <w:r>
        <w:rPr>
          <w:sz w:val="24"/>
          <w:u w:val="single"/>
        </w:rPr>
        <w:t>plus</w:t>
      </w:r>
      <w:r>
        <w:rPr>
          <w:sz w:val="24"/>
        </w:rPr>
        <w:t xml:space="preserve"> (b) the aggregate of all amounts owed, whether or not yet due, by the Party suffering the Material Adverse Change, the Posting Party, to the Beneficiary Party under all outstanding Confirmation Agreements (the amount of the Performance Assurance to be adjusted no more frequently than weekly to reflect any adjustment in amounts owing at that point in time).</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4.</w:t>
        <w:tab/>
      </w:r>
      <w:r>
        <w:rPr>
          <w:sz w:val="24"/>
          <w:u w:val="single"/>
        </w:rPr>
        <w:t>Collateral Requirement</w:t>
      </w:r>
      <w:r>
        <w:rPr>
          <w:sz w:val="24"/>
        </w:rPr>
        <w:t xml:space="preserve">. </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ab/>
        <w:t xml:space="preserve">If at any time, and from time to time, (a) no Event of Default has occurred and is continuing with respect to a Party requesting Performance Assurance hereunder (the “Beneficiary Party”), (b) no early termination has occurred or been designated as a result of an Event of Default with respect to such Beneficiary Party for which there exist any unsatisfied payment obligations, and (c) the Termination Payment that would be owed to such Beneficiary Party if the other Party (the “Posting Party”) were a Defaulting Party under Section 22.1 of the WSPP Agreement, equals or exceeds the Posting Party’s Collateral Threshold, then the Beneficiary Party, may demand that the Posting Party transfer Performance Assurance to or for the benefit of the Beneficiary Party, and the Posting Party shall, after receiving such notice from the Beneficiary Party, transfer, or cause to be transferred to the Beneficiary Party, Performance Assurance to, or for the benefit of, the Beneficiary Party, in an amount which (a) exceeds such Posting Party’s Minimum Transfer Amount, and (b) is at least equal to the positive difference between (i) the Termination Payment that would be owed the Beneficiary Party if the Posting Party were the Defaulting Party under Section 22.1 of the WSPP Agreement and (ii) the Collateral Threshold applicable to the Posting Party. Such amount shall be the Posting Party’s “Collateral Requirement.”  The Collateral Requirement shall be rounded up to the nearest integral multiple of the Rounding Amount.  Unless otherwise agreed in writing by the Parties, Performance Assurance demanded of a  Posting Party on or before close of business on a Business Day shall be provided by the close of business on the next Business Day.  Any Letter of Credit or type of Performance Assurance other than Cash shall be delivered to such address as the Beneficiary Party shall specify and any such demand made by the Beneficiary Party pursuant to this Section 4 and Section 3 above shall specify account information for the account to which Performance Assurance in the form of Cash shall be delivered.  </w:t>
      </w:r>
      <w:r>
        <w:rPr>
          <w:b/>
          <w:sz w:val="24"/>
        </w:rPr>
        <w:t xml:space="preserve"> </w:t>
      </w:r>
    </w:p>
    <w:p>
      <w:pPr>
        <w:pStyle w:val="Normal"/>
        <w:tabs>
          <w:tab w:val="clear" w:pos="720"/>
          <w:tab w:val="left" w:pos="0" w:leader="none"/>
        </w:tabs>
        <w:suppressAutoHyphens w:val="true"/>
        <w:jc w:val="both"/>
        <w:rPr>
          <w:b/>
          <w:sz w:val="24"/>
        </w:rPr>
      </w:pPr>
      <w:r>
        <w:rPr>
          <w:b/>
          <w:sz w:val="24"/>
        </w:rPr>
      </w:r>
    </w:p>
    <w:p>
      <w:pPr>
        <w:pStyle w:val="Normal"/>
        <w:tabs>
          <w:tab w:val="clear" w:pos="720"/>
          <w:tab w:val="left" w:pos="0" w:leader="none"/>
        </w:tabs>
        <w:suppressAutoHyphens w:val="true"/>
        <w:jc w:val="both"/>
        <w:rPr/>
      </w:pPr>
      <w:r>
        <w:rPr>
          <w:sz w:val="24"/>
        </w:rPr>
        <w:t>5.</w:t>
        <w:tab/>
      </w:r>
      <w:r>
        <w:rPr>
          <w:sz w:val="24"/>
          <w:u w:val="single"/>
        </w:rPr>
        <w:t>Reduction and Substitution of  Performance Assurance</w:t>
      </w:r>
      <w:r>
        <w:rPr>
          <w:sz w:val="24"/>
        </w:rPr>
        <w: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ab/>
        <w:t xml:space="preserve">On any Business Day (but no more frequently than weekly with respect to Letters of Credit and daily with respect to Cash), a Posting Party may request a reduction in the amount of Performance Assurance previously provided by the Posting Party for the benefit of the Beneficiary Party, </w:t>
      </w:r>
      <w:r>
        <w:rPr>
          <w:sz w:val="24"/>
          <w:u w:val="single"/>
        </w:rPr>
        <w:t>provided that</w:t>
      </w:r>
      <w:r>
        <w:rPr>
          <w:sz w:val="24"/>
        </w:rPr>
        <w:t>, after the requested reduction in Performance Assurance, (i) the Posting Party shall then have a Collateral Requirement of zero; (ii) no Event of Default with respect to the Posting Party shall have occurred and be continuing; and (iii) no early termination date for which any unsatisfied payment obligations of the Posting Party exists has occurred or been designated as a result of an Event of Default with respect to the Posting Party.  A permitted reduction in Performance Assurance may be effected by the transfer of Cash to the Posting Party or the reduction of the amount of an outstanding Letter of Credit previously issued for the benefit of the Beneficiary Party.  The Posting Party shall have the right to specify the means of effecting the reduction in Performance Assurance.  In all cases, the cost and expense of reducing Performance Assurance (including, but not limited to, the reasonable costs, expenses, and attorneys' fees of the Beneficiary Party) shall be borne by the Posting Party.  Unless otherwise agreed in writing by the Parties, if the Posting Party’s reduction demand is made on or before the close of business on a Business Day, then the Beneficiary Party shall have one (1) Business Day  to effect a permitted reduction in Performance Assurance if such reduction is to be effected by the return of Cash to the Posting Party.  If a permitted reduction in Performance Assurance is to be effected by a reduction in the amount of an outstanding Letter of Credit previously issued for the benefit of the Beneficiary Party, the Beneficiary Party shall not unreasonably withhold its consent to a commensurate reduction in the amount of such Letter of Credit and shall promptly take such action as is reasonably necessary to effectuate such reduction.</w:t>
      </w:r>
    </w:p>
    <w:p>
      <w:pPr>
        <w:sectPr>
          <w:type w:val="continuous"/>
          <w:pgSz w:w="12240" w:h="15840"/>
          <w:pgMar w:left="1440" w:right="1440" w:gutter="0" w:header="720" w:top="1440" w:footer="720" w:bottom="1440"/>
          <w:formProt w:val="false"/>
          <w:textDirection w:val="lrTb"/>
          <w:docGrid w:type="default" w:linePitch="360" w:charSpace="0"/>
        </w:sectPr>
        <w:pStyle w:val="BodyText3"/>
        <w:rPr/>
      </w:pPr>
      <w:r>
        <w:rPr/>
        <w:tab/>
      </w:r>
      <w:r>
        <w:br w:type="page"/>
      </w:r>
    </w:p>
    <w:p>
      <w:pPr>
        <w:pStyle w:val="Normal"/>
        <w:keepLines/>
        <w:widowControl w:val="false"/>
        <w:tabs>
          <w:tab w:val="clear" w:pos="720"/>
          <w:tab w:val="left" w:pos="0" w:leader="none"/>
        </w:tabs>
        <w:suppressAutoHyphens w:val="true"/>
        <w:jc w:val="both"/>
        <w:rPr/>
      </w:pPr>
      <w:r>
        <w:rPr>
          <w:sz w:val="24"/>
        </w:rPr>
        <w:t>6.</w:t>
        <w:tab/>
      </w:r>
      <w:r>
        <w:rPr>
          <w:sz w:val="24"/>
          <w:u w:val="single"/>
        </w:rPr>
        <w:t>Administration of Performance Assurance</w:t>
      </w:r>
      <w:r>
        <w:rPr>
          <w:sz w:val="24"/>
        </w:rPr>
        <w:t>.</w:t>
      </w:r>
    </w:p>
    <w:p>
      <w:pPr>
        <w:pStyle w:val="Normal"/>
        <w:spacing w:before="240" w:after="0"/>
        <w:ind w:firstLine="720" w:end="0"/>
        <w:jc w:val="both"/>
        <w:rPr/>
      </w:pPr>
      <w:r>
        <w:rPr>
          <w:sz w:val="24"/>
        </w:rPr>
        <w:t>(a)</w:t>
        <w:tab/>
      </w:r>
      <w:r>
        <w:rPr>
          <w:sz w:val="24"/>
          <w:u w:val="single"/>
        </w:rPr>
        <w:t>Cash</w:t>
      </w:r>
      <w:r>
        <w:rPr>
          <w:sz w:val="24"/>
        </w:rPr>
        <w:t xml:space="preserve">.  Performance Assurance provided in the form of Cash to a Beneficiary Party is subject to the following provisions:  </w:t>
      </w:r>
    </w:p>
    <w:p>
      <w:pPr>
        <w:pStyle w:val="Normal"/>
        <w:spacing w:before="240" w:after="0"/>
        <w:ind w:firstLine="720" w:end="0"/>
        <w:jc w:val="both"/>
        <w:rPr>
          <w:b/>
          <w:sz w:val="24"/>
        </w:rPr>
      </w:pPr>
      <w:r>
        <w:rPr>
          <w:sz w:val="24"/>
        </w:rPr>
        <w:t>(i)</w:t>
        <w:tab/>
        <w:t>If the Beneficiary Party is entitled to hold Cash, then it will be entitled to hold Cash or to appoint an agent which is a Qualified Institution (a "Custodian") to hold Cash for it; provided that the conditions for holding Cash that are set forth on the Cover Sheet Elections for the Beneficiary Party are satisfied.  If the Beneficiary Party is not entitled to hold Cash, then the provisions of Section 6(a)(ii) shall not apply with respect to such Party and Cash shall be held in a Qualified Institution in accordance with the provisions of Section 6(a)(ii)(B).  Upon notice by the Beneficiary Party to the Posting Party of the appointment of a Custodian, the Posting Party's obligations to make any transfer will be discharged by making the transfer to that Custodian.  The holding of Cash by a Custodian will be deemed to be the holding of Cash by the Beneficiary Party for which the Custodian is acting.  If the Beneficiary Party or its Custodian fails to satisfy any conditions for holding Cash as set forth above or in the Cover Sheet Elections or if the Beneficiary Party is not entitled to hold Cash at any time, then the Beneficiary Party will transfer, or cause its Custodian to transfer, the Cash to a Qualified Institution and the Cash shall be maintained in accordance with Section 6(a)(ii)(2)(B), with the Party not eligible to hold Cash being considered the "</w:t>
      </w:r>
      <w:r>
        <w:rPr>
          <w:sz w:val="24"/>
          <w:u w:val="single"/>
        </w:rPr>
        <w:t>Downgraded Party</w:t>
      </w:r>
      <w:r>
        <w:rPr>
          <w:sz w:val="24"/>
        </w:rPr>
        <w:t xml:space="preserve">" (as defined below).  The Beneficiary Party will be liable for the acts or omissions of its Custodian to the same extent that the Beneficiary Party would be liable hereunder for its own acts or omissions.  </w:t>
      </w:r>
    </w:p>
    <w:p>
      <w:pPr>
        <w:pStyle w:val="Normal"/>
        <w:tabs>
          <w:tab w:val="clear" w:pos="720"/>
          <w:tab w:val="left" w:pos="1440" w:leader="none"/>
        </w:tabs>
        <w:spacing w:before="240" w:after="0"/>
        <w:ind w:firstLine="720" w:end="0"/>
        <w:jc w:val="both"/>
        <w:rPr/>
      </w:pPr>
      <w:r>
        <w:rPr>
          <w:sz w:val="24"/>
        </w:rPr>
        <w:t xml:space="preserve">(ii)  </w:t>
        <w:tab/>
      </w:r>
      <w:r>
        <w:rPr>
          <w:sz w:val="24"/>
          <w:u w:val="single"/>
        </w:rPr>
        <w:t>Use of Cash</w:t>
      </w:r>
      <w:r>
        <w:rPr>
          <w:sz w:val="24"/>
        </w:rPr>
        <w:t xml:space="preserve">.  Notwithstanding the provisions of applicable law, if no Event of Default has occurred and is continuing with respect to the Beneficiary Party and no early termination date has occurred or been designated as a result of an Event of Default with respect to the Beneficiary Party, then the Beneficiary Party shall have the right to sell, pledge, rehypothecate, assign, invest, use, commingle or otherwise use in its business any Cash that it holds as Performance Assurance hereunder, free from any claim or right of any nature whatsoever of the Posting Party, including any equity or right of redemption by the Posting Party; </w:t>
      </w:r>
      <w:r>
        <w:rPr>
          <w:sz w:val="24"/>
          <w:u w:val="single"/>
        </w:rPr>
        <w:t>provided, however</w:t>
      </w:r>
      <w:r>
        <w:rPr>
          <w:sz w:val="24"/>
        </w:rPr>
        <w:t>, that if a Party or its Custodian is not eligible to hold Cash pursuant hereto (such Party shall be the "</w:t>
      </w:r>
      <w:r>
        <w:rPr>
          <w:sz w:val="24"/>
          <w:u w:val="single"/>
        </w:rPr>
        <w:t>Downgraded Party</w:t>
      </w:r>
      <w:r>
        <w:rPr>
          <w:sz w:val="24"/>
        </w:rPr>
        <w:t>" and the event that caused it or its Custodian to be ineligible to hold Cash shall be a "</w:t>
      </w:r>
      <w:r>
        <w:rPr>
          <w:sz w:val="24"/>
          <w:u w:val="single"/>
        </w:rPr>
        <w:t>Credit Rating Event</w:t>
      </w:r>
      <w:r>
        <w:rPr>
          <w:sz w:val="24"/>
        </w:rPr>
        <w:t>") then:</w:t>
      </w:r>
    </w:p>
    <w:p>
      <w:pPr>
        <w:pStyle w:val="BodyTextIndent3"/>
        <w:ind w:start="720" w:end="0"/>
        <w:rPr/>
      </w:pPr>
      <w:r>
        <w:rPr/>
        <w:t>(A)   the provisions of this Section 6(a)(ii) will not apply with respect to the Downgraded Party; and</w:t>
      </w:r>
    </w:p>
    <w:p>
      <w:pPr>
        <w:pStyle w:val="Normal"/>
        <w:spacing w:before="240" w:after="0"/>
        <w:ind w:start="720" w:end="0"/>
        <w:jc w:val="both"/>
        <w:rPr>
          <w:b/>
          <w:sz w:val="24"/>
        </w:rPr>
      </w:pPr>
      <w:r>
        <w:rPr>
          <w:sz w:val="24"/>
        </w:rPr>
        <w:t>(B)   the Downgraded Party shall be required to deliver (or cause to be delivered) not later than the close of business on the next Business Day following such Credit Rating Event all Cash in its possession or held on its behalf to a Qualified Institution approved by the non-Downgraded Party (which approval shall not be unreasonably withheld), to a segregated, safekeeping or custody account (the "</w:t>
      </w:r>
      <w:r>
        <w:rPr>
          <w:sz w:val="24"/>
          <w:u w:val="single"/>
        </w:rPr>
        <w:t>Collateral Account</w:t>
      </w:r>
      <w:r>
        <w:rPr>
          <w:sz w:val="24"/>
        </w:rPr>
        <w:t>") within such Qualified Institution with the title of the account indicating that the property contained therein is being held as Cash for the Downgraded Party.  The Qualified Institution shall serve as Custodian with respect to the Cash in the Collateral Account, and shall hold such Cash in accordance with the terms of this Collateral Annex and for the security interest of the Downgraded Party and, subject to such security interest, for the ownership of the non-Downgraded Party. The Qualified Institution holding the Cash will invest and reinvest or procure the investment and reinvestment of the Cash in accordance with the written instructions of the Posting Party, subject to the approval of such instructions by the Downgraded Party (which approval shall not be unreasonably withheld), provided that the Qualified Institution shall not be required to so invest or reinvest or procure such investment or reinvestment if an Event of Default with respect to the Posting Party shall have occurred and be continuing.  The Downgraded Party shall have no responsibility for any losses resulting from any investment or reinvestment effected in accordance with the Posting Party's instructions.</w:t>
      </w:r>
    </w:p>
    <w:p>
      <w:pPr>
        <w:pStyle w:val="Normal"/>
        <w:tabs>
          <w:tab w:val="clear" w:pos="720"/>
          <w:tab w:val="left" w:pos="1440" w:leader="none"/>
        </w:tabs>
        <w:spacing w:before="240" w:after="0"/>
        <w:ind w:firstLine="720" w:end="0"/>
        <w:jc w:val="both"/>
        <w:rPr>
          <w:b/>
          <w:sz w:val="24"/>
        </w:rPr>
      </w:pPr>
      <w:r>
        <w:rPr>
          <w:sz w:val="24"/>
        </w:rPr>
        <w:t xml:space="preserve">(iii)  </w:t>
        <w:tab/>
      </w:r>
      <w:r>
        <w:rPr>
          <w:sz w:val="24"/>
          <w:u w:val="single"/>
        </w:rPr>
        <w:t>Interest Payments on Cash</w:t>
      </w:r>
      <w:r>
        <w:rPr>
          <w:sz w:val="24"/>
        </w:rPr>
        <w:t>.  So long as no Event of Default with respect to the Posting Party has occurred and is continuing, and no early termination date for which any unsatisfied payment Obligations of the Posting Party exist has occurred or been designated as the result of an Event of Default with respect to the Posting Party, and to the extent that an obligation to deliver Performance Assurance would not be created or increased by the transfer, in the event that the Beneficiary Party is holding Cash, the Beneficiary Party will transfer to the Posting Party, in lieu of any interest or other amounts paid or deemed to have been paid with respect to such Cash (all of which may be retained by the Beneficiary Party), the Interest Amount.  The Posting Party shall invoice the Beneficiary Party monthly setting forth the calculation of the Interest Amount due, and the Beneficiary Party shall make payment thereof by the later of (A) the third Business Day of the first month after the last month to which such invoice relates or (B) the third Business Day after the day on which such invoice is received.  On or after the occurrence of an Event of Default with respect to the Posting Party or an early termination date as a result of an Event of Default with respect to the Posting Party, the Beneficiary Party shall retain any such Interest Amount as additional Performance Assurance hereunder until the obligations of the Posting Party under the Agreement have been satisfied in the case of an early termination date or for so long as such Event of Default is continuing in the case of an Event of Default.</w:t>
      </w:r>
    </w:p>
    <w:p>
      <w:pPr>
        <w:pStyle w:val="Normal"/>
        <w:tabs>
          <w:tab w:val="left" w:pos="720" w:leader="none"/>
        </w:tabs>
        <w:spacing w:before="240" w:after="0"/>
        <w:jc w:val="both"/>
        <w:rPr/>
      </w:pPr>
      <w:r>
        <w:rPr>
          <w:sz w:val="24"/>
        </w:rPr>
        <w:tab/>
        <w:t>(b)</w:t>
        <w:tab/>
      </w:r>
      <w:r>
        <w:rPr>
          <w:sz w:val="24"/>
          <w:u w:val="single"/>
        </w:rPr>
        <w:t>Letters of Credit</w:t>
      </w:r>
      <w:r>
        <w:rPr>
          <w:sz w:val="24"/>
        </w:rPr>
        <w:t>.  Performance Assurance provided in the form of a Letter of Credit shall be subject to the following provisions.</w:t>
      </w:r>
    </w:p>
    <w:p>
      <w:pPr>
        <w:pStyle w:val="Normal"/>
        <w:tabs>
          <w:tab w:val="left" w:pos="720" w:leader="none"/>
          <w:tab w:val="left" w:pos="1440" w:leader="none"/>
        </w:tabs>
        <w:spacing w:before="240" w:after="0"/>
        <w:ind w:firstLine="360" w:end="0"/>
        <w:jc w:val="both"/>
        <w:rPr>
          <w:sz w:val="24"/>
        </w:rPr>
      </w:pPr>
      <w:r>
        <w:rPr>
          <w:sz w:val="24"/>
        </w:rPr>
        <w:tab/>
        <w:t xml:space="preserve">(i)  </w:t>
        <w:tab/>
        <w:t>Unless otherwise agreed to in writing by the Parties, each Letter of Credit shall be provided in accordance with Section 5, and each Letter of Credit shall be maintained for the benefit of the Beneficiary Party.  The Posting Party shall (A) renew or cause the renewal of each outstanding Letter of Credit on a timely basis as provided in the relevant Letter of Credit, (B) if the bank that issued an outstanding Letter of Credit has indicated its intent not to renew such Letter of Credit, provide either a substitute Letter of Credit or other Performance Assurance, in each case at least twenty (20) Business Days prior to the expiration of the outstanding Letter of Credit, and (C) if a bank issuing a Letter of Credit shall fail to honor the Beneficiary Party's properly documented request to draw on an outstanding Letter of Credit, provide for the benefit of the Beneficiary Party either a substitute Letter of Credit that is issued by a bank acceptable to the Beneficiary Party or other Performance Assurance, in each case within one (1) Business Day after such refusal, provided that, as a result of the Posting Party's failure to perform in accordance with (A), (B), or (C) above, the Posting Party's Collateral Requirement would be greater than zero.</w:t>
      </w:r>
    </w:p>
    <w:p>
      <w:pPr>
        <w:pStyle w:val="Normal"/>
        <w:ind w:firstLine="360" w:end="0"/>
        <w:jc w:val="both"/>
        <w:rPr>
          <w:sz w:val="24"/>
        </w:rPr>
      </w:pPr>
      <w:r>
        <w:rPr>
          <w:sz w:val="24"/>
        </w:rPr>
      </w:r>
    </w:p>
    <w:p>
      <w:pPr>
        <w:pStyle w:val="Normal"/>
        <w:tabs>
          <w:tab w:val="left" w:pos="720" w:leader="none"/>
        </w:tabs>
        <w:ind w:firstLine="360" w:end="0"/>
        <w:jc w:val="both"/>
        <w:rPr>
          <w:sz w:val="24"/>
        </w:rPr>
      </w:pPr>
      <w:r>
        <w:rPr>
          <w:sz w:val="24"/>
        </w:rPr>
        <w:tab/>
        <w:t xml:space="preserve">(ii)  </w:t>
        <w:tab/>
        <w:t>Upon the occurrence of a Letter of Credit Default, the Posting Party agrees to deliver to the Beneficiary Party either a substitute Letter of Credit or other Performance Assurance, in each case on or before the first Business Day after the occurrence thereof (or the fifth (5th) Business Day after the occurrence thereof if only clause (a) under the definition of Letter of Credit Default applies).</w:t>
      </w:r>
    </w:p>
    <w:p>
      <w:pPr>
        <w:pStyle w:val="Normal"/>
        <w:tabs>
          <w:tab w:val="left" w:pos="720" w:leader="none"/>
          <w:tab w:val="left" w:pos="1440" w:leader="none"/>
        </w:tabs>
        <w:spacing w:before="240" w:after="0"/>
        <w:ind w:firstLine="360" w:end="0"/>
        <w:jc w:val="both"/>
        <w:rPr>
          <w:sz w:val="24"/>
        </w:rPr>
      </w:pPr>
      <w:r>
        <w:rPr>
          <w:sz w:val="24"/>
        </w:rPr>
        <w:tab/>
        <w:t xml:space="preserve">(iii) </w:t>
        <w:tab/>
        <w:t>(A) Upon or at any time after the occurrence and continuation of an Event of Default with respect to the Posting Party, or (B) if an early termination date has occurred or been designated as a result of an Event of Default with respect to the Posting Party, then the Beneficiary Party may draw on the entire, undrawn portion of any outstanding Letter of Credit upon submission to the bank issuing such Letter of Credit of one or more certificates specifying that such Event of Default or early termination date has occurred and is continuing.  Cash proceeds received from drawing upon the Letter of Credit shall be deemed Performance Assurance as security for the Posting Party’s obligations to the Beneficiary Party and the Beneficiary Party shall have the rights and remedies set forth herein with respect to such Cash proceeds.  Notwithstanding the Beneficiary Party’s receipt of Cash under the Letter of Credit, the Posting Party shall remain liable (y) for any failure to transfer sufficient Performance Assurance or (z) for any amounts owing to the Beneficiary Party and remaining unpaid after the application of the amounts so drawn by the Beneficiary Party.</w:t>
      </w:r>
    </w:p>
    <w:p>
      <w:pPr>
        <w:pStyle w:val="Normal"/>
        <w:tabs>
          <w:tab w:val="clear" w:pos="720"/>
          <w:tab w:val="left" w:pos="1440" w:leader="none"/>
        </w:tabs>
        <w:spacing w:before="240" w:after="0"/>
        <w:ind w:firstLine="720" w:end="0"/>
        <w:jc w:val="both"/>
        <w:rPr>
          <w:sz w:val="24"/>
        </w:rPr>
      </w:pPr>
      <w:r>
        <w:rPr>
          <w:sz w:val="24"/>
        </w:rPr>
        <w:t xml:space="preserve">(iv)  </w:t>
        <w:tab/>
        <w:t>In all cases, the costs and expenses (including but not limited to the reasonable costs, expenses, and attorneys' fees of the Beneficiary Party) of establishing, renewing, substituting, canceling, and increasing the amount of (as the case may be) a Letter of Credit shall be borne by the Posting Party.</w:t>
      </w:r>
    </w:p>
    <w:p>
      <w:pPr>
        <w:pStyle w:val="Normal"/>
        <w:tabs>
          <w:tab w:val="clear" w:pos="720"/>
          <w:tab w:val="left" w:pos="0" w:leader="none"/>
        </w:tabs>
        <w:suppressAutoHyphens w:val="true"/>
        <w:jc w:val="both"/>
        <w:rPr>
          <w:sz w:val="24"/>
        </w:rPr>
      </w:pPr>
      <w:r>
        <w:rPr>
          <w:sz w:val="24"/>
        </w:rPr>
        <w:tab/>
      </w:r>
    </w:p>
    <w:p>
      <w:pPr>
        <w:pStyle w:val="Normal"/>
        <w:tabs>
          <w:tab w:val="clear" w:pos="720"/>
          <w:tab w:val="left" w:pos="0" w:leader="none"/>
        </w:tabs>
        <w:suppressAutoHyphens w:val="true"/>
        <w:jc w:val="both"/>
        <w:rPr/>
      </w:pPr>
      <w:r>
        <w:rPr>
          <w:sz w:val="24"/>
        </w:rPr>
        <w:tab/>
        <w:t>(c)</w:t>
        <w:tab/>
      </w:r>
      <w:r>
        <w:rPr>
          <w:sz w:val="24"/>
          <w:u w:val="single"/>
        </w:rPr>
        <w:t>Care of Performance Assurance</w:t>
      </w:r>
      <w:r>
        <w:rPr>
          <w:sz w:val="24"/>
        </w:rPr>
        <w:t>.  Beyond the exercise of reasonable care in the custody thereof, the Beneficiary Party shall have no duty as to any Performance Assurance in its possession or control or in the possession or control of any Custodian or any income thereon or as to the preservation of rights against prior parties or any other rights pertaining thereto. The Beneficiary Party shall be deemed to have exercised reasonable care in the custody and preservation of the Performance Assurance in its possession, and/or in the possession of its agent for safekeeping, if the Performance Assurance is accorded treatment substantially equal to that which it accords its own property, and shall not be liable or responsible for any loss or damage to any of the Performance Assurance, or for any diminution in the value thereof, by reason of the act or omission of any Custodian selected by the Beneficiary Party in good faith except to the extent such loss or damage is the result of such agent's willful misconduct or negligence.  Unless held by a Custodian, the Beneficiary Party shall at all times retain possession or control of any Performance Assurance delivered to it.  The holding of Performance Assurance by a Custodian for the benefit of the Beneficiary Party shall be deemed to be the holding and possession of such Performance Assurance by the Beneficiary Party for the purpose of perfecting the security interest in the Performance Assurance.  Except as otherwise provided herein, nothing in this Collateral Annex shall be construed as requiring the Beneficiary Party to select a Custodian for the keeping of Performance Assurance for its benefit.</w:t>
      </w:r>
    </w:p>
    <w:p>
      <w:pPr>
        <w:pStyle w:val="Normal"/>
        <w:tabs>
          <w:tab w:val="clear" w:pos="720"/>
          <w:tab w:val="left" w:pos="0" w:leader="none"/>
        </w:tabs>
        <w:suppressAutoHyphens w:val="true"/>
        <w:jc w:val="both"/>
        <w:rPr>
          <w:sz w:val="24"/>
        </w:rPr>
      </w:pPr>
      <w:r>
        <w:rPr>
          <w:sz w:val="24"/>
        </w:rPr>
      </w:r>
      <w:r>
        <w:br w:type="page"/>
      </w:r>
    </w:p>
    <w:p>
      <w:pPr>
        <w:pStyle w:val="Normal"/>
        <w:tabs>
          <w:tab w:val="clear" w:pos="720"/>
          <w:tab w:val="left" w:pos="0" w:leader="none"/>
        </w:tabs>
        <w:suppressAutoHyphens w:val="true"/>
        <w:jc w:val="both"/>
        <w:rPr/>
      </w:pPr>
      <w:r>
        <w:rPr>
          <w:sz w:val="24"/>
        </w:rPr>
        <w:t>7.</w:t>
        <w:tab/>
      </w:r>
      <w:r>
        <w:rPr>
          <w:sz w:val="24"/>
          <w:u w:val="single"/>
        </w:rPr>
        <w:t>Exercise of Rights Against Performance Assurance</w:t>
      </w:r>
      <w:r>
        <w:rPr>
          <w:sz w:val="24"/>
        </w:rPr>
        <w:t>.</w:t>
      </w:r>
    </w:p>
    <w:p>
      <w:pPr>
        <w:pStyle w:val="Normal"/>
        <w:tabs>
          <w:tab w:val="clear" w:pos="720"/>
          <w:tab w:val="left" w:pos="0" w:leader="none"/>
        </w:tabs>
        <w:suppressAutoHyphens w:val="true"/>
        <w:jc w:val="both"/>
        <w:rPr>
          <w:sz w:val="24"/>
        </w:rPr>
      </w:pPr>
      <w:r>
        <w:rPr>
          <w:sz w:val="24"/>
        </w:rPr>
      </w:r>
    </w:p>
    <w:p>
      <w:pPr>
        <w:pStyle w:val="BodyText3"/>
        <w:rPr/>
      </w:pPr>
      <w:r>
        <w:rPr/>
        <w:tab/>
        <w:t>(a)</w:t>
        <w:tab/>
        <w:t>In the event that (i) an Event of Default with respect to a Posting Party has occurred and is continuing or (ii) an early termination date has occurred or been designated as a result of an Event of Default with respect to a Posting Party, the Beneficiary Party may exercise any one or more of the rights and remedies provided under the WSPP Agreement, in this Collateral Annex or as otherwise available under applicable law.  Without limiting the foregoing, if at any time (i) an Event of Default with respect to a Posting Party has occurred and is continuing, or (ii) an early termination date occurs or is deemed to occur as a result of an Event of Default with respect to a Posting Party, then the Beneficiary Party may, in its sole discretion, exercise any one or more of the following rights and remedies:</w:t>
      </w:r>
    </w:p>
    <w:p>
      <w:pPr>
        <w:pStyle w:val="Normal"/>
        <w:tabs>
          <w:tab w:val="clear" w:pos="720"/>
          <w:tab w:val="left" w:pos="0" w:leader="none"/>
        </w:tabs>
        <w:suppressAutoHyphens w:val="true"/>
        <w:jc w:val="both"/>
        <w:rPr>
          <w:sz w:val="24"/>
        </w:rPr>
      </w:pPr>
      <w:r>
        <w:rPr>
          <w:sz w:val="24"/>
        </w:rPr>
      </w:r>
    </w:p>
    <w:p>
      <w:pPr>
        <w:pStyle w:val="Normal"/>
        <w:suppressAutoHyphens w:val="true"/>
        <w:ind w:hanging="720" w:start="1440" w:end="0"/>
        <w:jc w:val="both"/>
        <w:rPr>
          <w:sz w:val="24"/>
        </w:rPr>
      </w:pPr>
      <w:r>
        <w:rPr>
          <w:sz w:val="24"/>
        </w:rPr>
        <w:t>(i)</w:t>
        <w:tab/>
        <w:t>all rights and remedies available to the Beneficiary Party under the uniform commercial code of the jurisdiction  in which the Performance Assurance is being held and any other applicable jurisdiction and other applicable laws with respect to the Performance Assurance held by or for the benefit of the Beneficiary Party;</w:t>
      </w:r>
    </w:p>
    <w:p>
      <w:pPr>
        <w:pStyle w:val="Normal"/>
        <w:tabs>
          <w:tab w:val="left" w:pos="720" w:leader="none"/>
        </w:tabs>
        <w:suppressAutoHyphens w:val="true"/>
        <w:jc w:val="both"/>
        <w:rPr>
          <w:sz w:val="24"/>
        </w:rPr>
      </w:pPr>
      <w:r>
        <w:rPr>
          <w:sz w:val="24"/>
        </w:rPr>
      </w:r>
    </w:p>
    <w:p>
      <w:pPr>
        <w:pStyle w:val="Normal"/>
        <w:tabs>
          <w:tab w:val="left" w:pos="720" w:leader="none"/>
        </w:tabs>
        <w:suppressAutoHyphens w:val="true"/>
        <w:ind w:hanging="1440" w:start="1440" w:end="0"/>
        <w:jc w:val="both"/>
        <w:rPr>
          <w:sz w:val="24"/>
        </w:rPr>
      </w:pPr>
      <w:r>
        <w:rPr>
          <w:sz w:val="24"/>
        </w:rPr>
        <w:tab/>
        <w:t>(ii)</w:t>
        <w:tab/>
        <w:t xml:space="preserve">the right to set off any Performance Assurance held by or for the benefit of the Beneficiary Party against and in satisfaction of any amount payable by the Posting Party in respect of any of its Obligations; </w:t>
      </w:r>
    </w:p>
    <w:p>
      <w:pPr>
        <w:pStyle w:val="Normal"/>
        <w:tabs>
          <w:tab w:val="left" w:pos="720" w:leader="none"/>
        </w:tabs>
        <w:suppressAutoHyphens w:val="true"/>
        <w:jc w:val="both"/>
        <w:rPr>
          <w:sz w:val="24"/>
        </w:rPr>
      </w:pPr>
      <w:r>
        <w:rPr>
          <w:sz w:val="24"/>
        </w:rPr>
      </w:r>
    </w:p>
    <w:p>
      <w:pPr>
        <w:pStyle w:val="Normal"/>
        <w:tabs>
          <w:tab w:val="clear" w:pos="720"/>
          <w:tab w:val="left" w:pos="1440" w:leader="none"/>
        </w:tabs>
        <w:suppressAutoHyphens w:val="true"/>
        <w:ind w:hanging="720" w:start="1440" w:end="0"/>
        <w:jc w:val="both"/>
        <w:rPr>
          <w:sz w:val="24"/>
        </w:rPr>
      </w:pPr>
      <w:r>
        <w:rPr>
          <w:sz w:val="24"/>
        </w:rPr>
        <w:t xml:space="preserve">(iii) </w:t>
        <w:tab/>
        <w:t>the right to draw on any outstanding Letter of Credit issued for its benefit; and/or</w:t>
      </w:r>
    </w:p>
    <w:p>
      <w:pPr>
        <w:pStyle w:val="Normal"/>
        <w:tabs>
          <w:tab w:val="clear" w:pos="720"/>
          <w:tab w:val="left" w:pos="1440" w:leader="none"/>
        </w:tabs>
        <w:suppressAutoHyphens w:val="true"/>
        <w:ind w:hanging="720" w:start="1440" w:end="0"/>
        <w:jc w:val="both"/>
        <w:rPr>
          <w:sz w:val="24"/>
        </w:rPr>
      </w:pPr>
      <w:r>
        <w:rPr>
          <w:sz w:val="24"/>
        </w:rPr>
      </w:r>
    </w:p>
    <w:p>
      <w:pPr>
        <w:pStyle w:val="Normal"/>
        <w:tabs>
          <w:tab w:val="clear" w:pos="720"/>
          <w:tab w:val="left" w:pos="1440" w:leader="none"/>
        </w:tabs>
        <w:suppressAutoHyphens w:val="true"/>
        <w:ind w:hanging="720" w:start="1440" w:end="0"/>
        <w:jc w:val="both"/>
        <w:rPr>
          <w:sz w:val="24"/>
        </w:rPr>
      </w:pPr>
      <w:r>
        <w:rPr>
          <w:sz w:val="24"/>
        </w:rPr>
        <w:t>(iv)</w:t>
        <w:tab/>
        <w:t xml:space="preserve"> the right to liquidate any Performance Assurance held by or for the benefit of the Beneficiary Party through one or more public or private sales or other dispositions with such notice, if any, as may be required by applicable law, free from any claim or right of any nature whatsoever of the Posting Party, including any right of equity or redemption by the Posting Party (with the Beneficiary Party having the right to purchase any or all of the Performance Assurance to be sold) and to apply the proceeds from the liquidation of such Performance Assurance to and in satisfaction of any amount payable by the Posting Party in respect of any of its Obligations in such order as the Beneficiary Party may elect.</w:t>
      </w:r>
    </w:p>
    <w:p>
      <w:pPr>
        <w:pStyle w:val="PASSParawIndent"/>
        <w:rPr>
          <w:rFonts w:ascii="Times New Roman" w:hAnsi="Times New Roman" w:cs="Times New Roman"/>
          <w:sz w:val="24"/>
        </w:rPr>
      </w:pPr>
      <w:r>
        <w:rPr>
          <w:rFonts w:cs="Times New Roman" w:ascii="Times New Roman" w:hAnsi="Times New Roman"/>
          <w:sz w:val="24"/>
        </w:rPr>
        <w:t>(b)</w:t>
        <w:tab/>
        <w:t>The Posting Party hereby irrevocably constitutes and appoints the Beneficiary Party and any officer or agent thereof, with full power of substitution, as the Posting Party’s true and lawful attorney-in-fact with full irrevocable power and authority to act in the name, place and stead of the Posting Party or in the Beneficiary Party’s own name, from time to time in the Beneficiary Party’s discretion, for the purpose of taking any and all action and executing and delivering any and all documents or instruments which may be necessary or desirable to accomplish the purposes of Section 7(a).</w:t>
      </w:r>
    </w:p>
    <w:p>
      <w:pPr>
        <w:pStyle w:val="Normal"/>
        <w:tabs>
          <w:tab w:val="clear" w:pos="720"/>
          <w:tab w:val="left" w:pos="0" w:leader="none"/>
        </w:tabs>
        <w:suppressAutoHyphens w:val="true"/>
        <w:jc w:val="both"/>
        <w:rPr>
          <w:rFonts w:ascii="Times New Roman" w:hAnsi="Times New Roman" w:cs="Times New Roman"/>
          <w:sz w:val="24"/>
        </w:rPr>
      </w:pPr>
      <w:r>
        <w:rPr>
          <w:rFonts w:cs="Times New Roman"/>
          <w:sz w:val="24"/>
        </w:rPr>
      </w:r>
    </w:p>
    <w:p>
      <w:pPr>
        <w:pStyle w:val="Normal"/>
        <w:tabs>
          <w:tab w:val="clear" w:pos="720"/>
          <w:tab w:val="left" w:pos="0" w:leader="none"/>
        </w:tabs>
        <w:suppressAutoHyphens w:val="true"/>
        <w:jc w:val="both"/>
        <w:rPr>
          <w:sz w:val="24"/>
        </w:rPr>
      </w:pPr>
      <w:r>
        <w:rPr>
          <w:sz w:val="24"/>
        </w:rPr>
        <w:tab/>
        <w:t>(c)</w:t>
        <w:tab/>
        <w:t>For the avoidance of doubt, it is hereby acknowledged that the Beneficiary Party shall be under no obligation to prioritize the order with respect to which it exercises any one or more of its rights and remedies provided under the WSPP Agreement or as otherwise available under applicable law.  The Posting Party shall in all events remain liable to the Beneficiary Party for any amount payable by the Posting Party in respect of any of its Obligations remaining unpaid after any such liquidation, application and set off.</w:t>
      </w:r>
    </w:p>
    <w:p>
      <w:pPr>
        <w:pStyle w:val="Normal"/>
        <w:spacing w:before="240" w:after="0"/>
        <w:ind w:firstLine="360" w:end="0"/>
        <w:jc w:val="both"/>
        <w:rPr>
          <w:sz w:val="24"/>
        </w:rPr>
      </w:pPr>
      <w:r>
        <w:rPr>
          <w:sz w:val="24"/>
        </w:rPr>
        <w:tab/>
        <w:t>(d)</w:t>
        <w:tab/>
        <w:t>In addition to the provisions of Section 7(a), if at any time (i) an Event of Default with respect to the Beneficiary Party has occurred and is continuing or (ii) an early termination date has occurred or been designated as a result of an Event of Default with respect to the Beneficiary Party, then:</w:t>
      </w:r>
    </w:p>
    <w:p>
      <w:pPr>
        <w:pStyle w:val="Normal"/>
        <w:tabs>
          <w:tab w:val="left" w:pos="720" w:leader="none"/>
          <w:tab w:val="left" w:pos="1440" w:leader="none"/>
        </w:tabs>
        <w:spacing w:before="240" w:after="0"/>
        <w:ind w:start="720" w:end="0"/>
        <w:jc w:val="both"/>
        <w:rPr>
          <w:sz w:val="24"/>
        </w:rPr>
      </w:pPr>
      <w:r>
        <w:rPr>
          <w:sz w:val="24"/>
        </w:rPr>
        <w:t xml:space="preserve">(1)  </w:t>
        <w:tab/>
        <w:t xml:space="preserve">the Beneficiary Party will be obligated immediately to transfer all Performance Assurance (including any Letter of Credit) and the Interest Amount, if any, to the Posting Party; </w:t>
      </w:r>
    </w:p>
    <w:p>
      <w:pPr>
        <w:pStyle w:val="BodyTextIndent3"/>
        <w:tabs>
          <w:tab w:val="left" w:pos="720" w:leader="none"/>
          <w:tab w:val="left" w:pos="1440" w:leader="none"/>
        </w:tabs>
        <w:ind w:start="720" w:end="0"/>
        <w:rPr/>
      </w:pPr>
      <w:r>
        <w:rPr/>
        <w:t xml:space="preserve">(2)  </w:t>
        <w:tab/>
        <w:t>the Posting Party may do any one or more of the following: (x) exercise any of the rights and remedies of a pledgor with respect to the Performance Assurance, including any such rights and remedies under law then in effect; (y) to the extent that the Performance Assurance or the Interest Amount is not transferred to the Posting Party as required in (1) above, setoff amounts payable to the Beneficiary Party against the Performance Assurance (other than Letters of Credit) held by the Beneficiary Party or to the extent its rights to setoff are not exercised, withhold payment of any remaining amounts payable by the Posting Party, up to the value of any remaining Performance Assurance held by the Beneficiary Party, until the Performance Assurance is transferred to the Posting Party; and (z) exercise rights and remedies available to the Posting Party under the terms of any Letter of Credit; and</w:t>
      </w:r>
    </w:p>
    <w:p>
      <w:pPr>
        <w:pStyle w:val="BodyTextIndent2"/>
        <w:ind w:start="720" w:end="0"/>
        <w:rPr>
          <w:rFonts w:ascii="Times New Roman" w:hAnsi="Times New Roman" w:cs="Times New Roman"/>
          <w:sz w:val="24"/>
        </w:rPr>
      </w:pPr>
      <w:r>
        <w:rPr>
          <w:rFonts w:cs="Times New Roman" w:ascii="Times New Roman" w:hAnsi="Times New Roman"/>
          <w:sz w:val="24"/>
        </w:rPr>
        <w:t>(3)</w:t>
        <w:tab/>
        <w:t>the Beneficiary Party shall be prohibited from drawing on any Letter of Credit that has been posted by the Posting Party for its benefit.</w:t>
      </w:r>
    </w:p>
    <w:p>
      <w:pPr>
        <w:pStyle w:val="Normal"/>
        <w:tabs>
          <w:tab w:val="clear" w:pos="720"/>
          <w:tab w:val="left" w:pos="-1080" w:leader="none"/>
        </w:tabs>
        <w:suppressAutoHyphens w:val="true"/>
        <w:jc w:val="both"/>
        <w:rPr>
          <w:rFonts w:ascii="Times New Roman" w:hAnsi="Times New Roman" w:cs="Times New Roman"/>
          <w:sz w:val="24"/>
        </w:rPr>
      </w:pPr>
      <w:r>
        <w:rPr>
          <w:rFonts w:cs="Times New Roman"/>
          <w:sz w:val="24"/>
        </w:rPr>
      </w:r>
    </w:p>
    <w:p>
      <w:pPr>
        <w:pStyle w:val="Normal"/>
        <w:tabs>
          <w:tab w:val="clear" w:pos="720"/>
          <w:tab w:val="left" w:pos="-1080" w:leader="none"/>
        </w:tabs>
        <w:suppressAutoHyphens w:val="true"/>
        <w:jc w:val="both"/>
        <w:rPr/>
      </w:pPr>
      <w:r>
        <w:rPr>
          <w:sz w:val="24"/>
        </w:rPr>
        <w:t>8.</w:t>
        <w:tab/>
      </w:r>
      <w:r>
        <w:rPr>
          <w:sz w:val="24"/>
          <w:u w:val="single"/>
        </w:rPr>
        <w:t>Disputed Calculations</w:t>
      </w:r>
    </w:p>
    <w:p>
      <w:pPr>
        <w:pStyle w:val="Normal"/>
        <w:spacing w:before="240" w:after="0"/>
        <w:jc w:val="both"/>
        <w:rPr>
          <w:sz w:val="24"/>
        </w:rPr>
      </w:pPr>
      <w:r>
        <w:rPr>
          <w:sz w:val="24"/>
        </w:rPr>
        <w:tab/>
        <w:t>(a)  If a Posting Party shall dispute the amount of Performance Assurance requested by a Beneficiary Party (or as the case may be, the amount of Performance Assurance reduction requested by a Posting Party) and such dispute relates to the Termination Payment calculated by the other Party, then the Party contesting the Termination Payment calculation shall (i) notify the other Party of the existence and nature of the dispute not later than the close of business on the first Business Day following the date that the demand for Performance Assurance is made by the Beneficiary Party requesting Performance Assurance (or the return thereof), and (ii) provide Performance Assurance to or for the benefit of the Beneficiary Party in an amount equal to such Party's own estimate, made in good faith and in a commercially reasonable manner, of the Termination Payment that would be applicable if such Party were the Defaulting Party under Section 22.1 of the WSPP Agreement.  In all such cases, the Parties thereafter shall promptly consult with each other in order to reconcile the dispute.  If the Parties have not been able to resolve their dispute on or before the first Business Day following the date that the demand is made by the Party contesting the Termination Payment calculation, then the Beneficiary Party shall recalculate its Termination Payment by requesting quotations from two (2) Reference Market-Makers (taking the arithmetic average of the two), and the Party contesting the Termination Payment calculation shall inform the other Party of the results of such recalculation (in reasonable detail).  Performance Assurance shall thereupon be provided, returned, or reduced, if necessary, on the next Business Day in accordance with the results of such recalculation.</w:t>
      </w:r>
    </w:p>
    <w:p>
      <w:pPr>
        <w:pStyle w:val="Normal"/>
        <w:tabs>
          <w:tab w:val="left" w:pos="720" w:leader="none"/>
        </w:tabs>
        <w:suppressAutoHyphens w:val="true"/>
        <w:ind w:start="720" w:end="0"/>
        <w:jc w:val="both"/>
        <w:rPr>
          <w:sz w:val="24"/>
        </w:rPr>
      </w:pPr>
      <w:r>
        <w:rPr>
          <w:sz w:val="24"/>
        </w:rPr>
        <w:tab/>
      </w:r>
    </w:p>
    <w:p>
      <w:pPr>
        <w:pStyle w:val="Normal"/>
        <w:tabs>
          <w:tab w:val="clear" w:pos="720"/>
          <w:tab w:val="left" w:pos="0" w:leader="none"/>
        </w:tabs>
        <w:suppressAutoHyphens w:val="true"/>
        <w:jc w:val="both"/>
        <w:rPr/>
      </w:pPr>
      <w:r>
        <w:rPr>
          <w:sz w:val="24"/>
        </w:rPr>
        <w:t>9.</w:t>
        <w:tab/>
      </w:r>
      <w:r>
        <w:rPr>
          <w:sz w:val="24"/>
          <w:u w:val="single"/>
        </w:rPr>
        <w:t>Covenants; Representations and Warranties; Miscellaneous</w:t>
      </w:r>
      <w:r>
        <w:rPr>
          <w:sz w:val="24"/>
        </w:rPr>
        <w: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(a)</w:t>
        <w:tab/>
        <w:t>The Posting Party will execute and deliver to the Beneficiary Party (and to the extent permitted by applicable law, the Posting Party hereby authorizes the Beneficiary Party to execute and deliver, in the name of the Posting Party or otherwise) such financing statements, assignments and other documents and do such other things relating to the Performance Assurance and the security interest granted under this Collateral Annex including any action the Beneficiary Party may deem necessary or appropriate to perfect or maintain perfection of its security interest in the Performance Assurance, and the Posting Party shall pay all costs relating to its delivery of Performance Assurance and the maintenance and perfection of the security interest therein.</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(b)</w:t>
        <w:tab/>
        <w:t>On each day on which Performance Assurance is held by the Beneficiary Party and/or its Custodian under the Agreement and this Collateral Annex, the Posting Party hereby represents and warrants that: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ind w:start="720" w:end="0"/>
        <w:jc w:val="both"/>
        <w:rPr>
          <w:sz w:val="24"/>
        </w:rPr>
      </w:pPr>
      <w:r>
        <w:rPr>
          <w:sz w:val="24"/>
        </w:rPr>
        <w:tab/>
        <w:t>(i)</w:t>
        <w:tab/>
        <w:t xml:space="preserve">the Posting Party has good title to and is the sole owner of such Performance Assurance, and the execution, delivery and performance of the covenants and agreements of this Collateral Annex, do not result in the creation or imposition of any lien or security interest upon any of its assets or properties, including, without limitation, the Performance Assurance, other than the security interests and liens created under the WSPP Agreement and this Collateral Annex; </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ind w:start="720" w:end="0"/>
        <w:jc w:val="both"/>
        <w:rPr>
          <w:sz w:val="24"/>
        </w:rPr>
      </w:pPr>
      <w:r>
        <w:rPr>
          <w:sz w:val="24"/>
        </w:rPr>
        <w:tab/>
        <w:t>(ii)</w:t>
        <w:tab/>
        <w:t>upon the transfer of Performance Assurance by the Posting Party to the Beneficiary Party and/or Custodian, the Beneficiary Party shall have a valid and perfected first priority continuing security interest therein, free of any liens, claims or encumbrances, except those liens, security interests, claims or encumbrances arising by operation of law that are given priority over a perfected security interest;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ind w:start="720" w:end="0"/>
        <w:jc w:val="both"/>
        <w:rPr>
          <w:sz w:val="24"/>
        </w:rPr>
      </w:pPr>
      <w:r>
        <w:rPr>
          <w:sz w:val="24"/>
        </w:rPr>
        <w:tab/>
        <w:t>(iii)</w:t>
        <w:tab/>
        <w:t>the Beneficiary Party has a valid and perfected first priority continuing security interest in the Performance Assurance, free of any liens, claims or encumbrances, except those liens, claims or encumbrances arising by operation of law that are given priority over a perfected security interest; and</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ind w:start="720" w:end="0"/>
        <w:jc w:val="both"/>
        <w:rPr>
          <w:sz w:val="24"/>
        </w:rPr>
      </w:pPr>
      <w:r>
        <w:rPr>
          <w:sz w:val="24"/>
        </w:rPr>
        <w:tab/>
        <w:t>(iv)</w:t>
        <w:tab/>
        <w:t>it is not and will not become a Party to or otherwise be bound by any agreement, other than the WSPP Agreement and this Collateral Annex, which restricts in any manner the rights of any present or future holder of any of the Performance Assurance with respect hereto.</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(c)</w:t>
        <w:tab/>
        <w:t>This Collateral Annex has been and is made solely for the benefit of the Parties and their permitted successors and assigns, and no other person, partnership, association, corporation or other entity shall acquire or have any right under or by virtue of this Collateral Annex.</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(d)</w:t>
        <w:tab/>
        <w:t>The Posting Party shall pay on request and indemnify the Beneficiary Party against any taxes (including without limitation, any applicable transfer taxes and stamp, registration or other documentary taxes), assessments, or charges that may become payable by reason of the security interests, general first lien and right of offset granted under this Collateral Annex or the execution, delivery, performance or enforcement of the WSPP Agreement and this Collateral Annex, as well as any penalties with respect thereto (including, without limitation costs and reasonable fees and disbursements of counsel).  The Parties each agree to pay the other Party for all reasonable expenses (including without limitation, court costs and reasonable fees and disbursements of counsel) incurred by the other in connection with the enforcement of, or suing for or collecting any amounts payable by it under, the WSPP Agreement and this Collateral Annex.</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(e)</w:t>
        <w:tab/>
        <w:t xml:space="preserve">No failure or delay by either Party hereto in exercising any right, power, privilege, or remedy hereunder shall operate as a waiver thereof. </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(f)</w:t>
        <w:tab/>
        <w:t xml:space="preserve">The headings in this Collateral Annex are for convenience of reference only, and shall not affect the meaning or construction of any provision thereof. </w:t>
      </w:r>
    </w:p>
    <w:p>
      <w:pPr>
        <w:pStyle w:val="Normal"/>
        <w:tabs>
          <w:tab w:val="clear" w:pos="720"/>
          <w:tab w:val="left" w:pos="0" w:leader="none"/>
        </w:tabs>
        <w:suppressAutoHyphens w:val="true"/>
        <w:jc w:val="both"/>
        <w:rPr>
          <w:sz w:val="24"/>
        </w:rPr>
      </w:pPr>
      <w:r>
        <w:rPr>
          <w:sz w:val="24"/>
        </w:rPr>
      </w:r>
    </w:p>
    <w:p>
      <w:pPr>
        <w:pStyle w:val="BodyText3"/>
        <w:rPr/>
      </w:pPr>
      <w:r>
        <w:rPr/>
        <w:tab/>
        <w:t>IN WITNESS HEREOF, the Parties have caused this Collateral Annex to be duly executed effective as of the date first written above.</w:t>
      </w:r>
    </w:p>
    <w:p>
      <w:pPr>
        <w:pStyle w:val="BodyText3"/>
        <w:rPr/>
      </w:pPr>
      <w:r>
        <w:rPr/>
      </w:r>
    </w:p>
    <w:p>
      <w:pPr>
        <w:pStyle w:val="BodyText3"/>
        <w:rPr>
          <w:b/>
        </w:rPr>
      </w:pPr>
      <w:r>
        <w:rPr>
          <w:b/>
        </w:rPr>
        <w:t>Party A</w:t>
        <w:tab/>
        <w:tab/>
        <w:tab/>
        <w:tab/>
        <w:tab/>
        <w:tab/>
        <w:t>Party B</w:t>
      </w:r>
    </w:p>
    <w:p>
      <w:pPr>
        <w:pStyle w:val="BodyText3"/>
        <w:rPr/>
      </w:pPr>
      <w:r>
        <w:rPr/>
      </w:r>
    </w:p>
    <w:p>
      <w:pPr>
        <w:pStyle w:val="BodyText3"/>
        <w:rPr/>
      </w:pPr>
      <w:r>
        <w:rPr/>
      </w:r>
    </w:p>
    <w:p>
      <w:pPr>
        <w:pStyle w:val="BodyText3"/>
        <w:rPr/>
      </w:pPr>
      <w:r>
        <w:rPr/>
        <w:t>___________________________________</w:t>
        <w:tab/>
        <w:tab/>
        <w:t>____________________________________</w:t>
      </w:r>
    </w:p>
    <w:p>
      <w:pPr>
        <w:pStyle w:val="BodyText3"/>
        <w:rPr/>
      </w:pPr>
      <w:r>
        <w:rPr/>
      </w:r>
    </w:p>
    <w:p>
      <w:pPr>
        <w:pStyle w:val="BodyText3"/>
        <w:rPr/>
      </w:pPr>
      <w:r>
        <w:rPr/>
        <w:t>___________________________________</w:t>
        <w:tab/>
        <w:tab/>
        <w:t>____________________________________</w:t>
      </w:r>
    </w:p>
    <w:p>
      <w:pPr>
        <w:pStyle w:val="BodyText3"/>
        <w:rPr/>
      </w:pPr>
      <w:r>
        <w:rPr/>
      </w:r>
    </w:p>
    <w:p>
      <w:pPr>
        <w:pStyle w:val="Normal"/>
        <w:tabs>
          <w:tab w:val="clear" w:pos="720"/>
          <w:tab w:val="left" w:pos="0" w:leader="none"/>
        </w:tabs>
        <w:suppressAutoHyphens w:val="true"/>
        <w:jc w:val="both"/>
        <w:rPr>
          <w:sz w:val="24"/>
        </w:rPr>
      </w:pPr>
      <w:r>
        <w:rPr>
          <w:sz w:val="24"/>
        </w:rPr>
        <w:t>___________________________________</w:t>
        <w:tab/>
        <w:tab/>
        <w:t>____________________________________</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___________________________________</w:t>
        <w:tab/>
        <w:tab/>
        <w:t>____________________________________</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r>
    </w:p>
    <w:p>
      <w:pPr>
        <w:pStyle w:val="Normal"/>
        <w:tabs>
          <w:tab w:val="clear" w:pos="720"/>
          <w:tab w:val="left" w:pos="-1440" w:leader="none"/>
          <w:tab w:val="left" w:pos="-720" w:leader="none"/>
          <w:tab w:val="left" w:pos="4034" w:leader="none"/>
        </w:tabs>
        <w:suppressAutoHyphens w:val="true"/>
        <w:ind w:end="720"/>
        <w:jc w:val="both"/>
        <w:rPr>
          <w:sz w:val="24"/>
        </w:rPr>
      </w:pPr>
      <w:r>
        <w:rPr>
          <w:sz w:val="24"/>
        </w:rPr>
        <w:tab/>
      </w:r>
      <w:r>
        <w:br w:type="page"/>
      </w:r>
    </w:p>
    <w:p>
      <w:pPr>
        <w:pStyle w:val="Normal"/>
        <w:jc w:val="center"/>
        <w:rPr>
          <w:sz w:val="24"/>
        </w:rPr>
      </w:pPr>
      <w:r>
        <w:rPr>
          <w:sz w:val="24"/>
          <w:u w:val="single"/>
        </w:rPr>
        <w:t>SCHEDULE 1 to Collateral Annex</w:t>
      </w:r>
    </w:p>
    <w:p>
      <w:pPr>
        <w:pStyle w:val="Normal"/>
        <w:jc w:val="center"/>
        <w:rPr>
          <w:sz w:val="24"/>
        </w:rPr>
      </w:pPr>
      <w:r>
        <w:rPr>
          <w:sz w:val="24"/>
        </w:rPr>
      </w:r>
    </w:p>
    <w:p>
      <w:pPr>
        <w:pStyle w:val="Normal"/>
        <w:jc w:val="center"/>
        <w:rPr>
          <w:sz w:val="24"/>
        </w:rPr>
      </w:pPr>
      <w:r>
        <w:rPr>
          <w:sz w:val="24"/>
        </w:rPr>
        <w:t>IRREVOCABLE STANDBY LETTER OF CREDIT FORMAT</w:t>
      </w:r>
    </w:p>
    <w:p>
      <w:pPr>
        <w:pStyle w:val="Normal"/>
        <w:jc w:val="center"/>
        <w:rPr>
          <w:sz w:val="24"/>
        </w:rPr>
      </w:pPr>
      <w:r>
        <w:rPr>
          <w:sz w:val="24"/>
        </w:rPr>
        <w:t xml:space="preserve">DATE OF ISSUANCE:  </w:t>
      </w:r>
      <w:r>
        <w:rPr>
          <w:sz w:val="24"/>
          <w:u w:val="single"/>
        </w:rPr>
        <w:tab/>
        <w:tab/>
        <w:tab/>
      </w:r>
    </w:p>
    <w:p>
      <w:pPr>
        <w:pStyle w:val="Normal"/>
        <w:rPr>
          <w:sz w:val="24"/>
        </w:rPr>
      </w:pPr>
      <w:r>
        <w:rPr>
          <w:b/>
          <w:sz w:val="24"/>
        </w:rPr>
        <w:t>[</w:t>
      </w:r>
      <w:r>
        <w:rPr>
          <w:sz w:val="24"/>
        </w:rPr>
        <w:t>Address</w:t>
      </w:r>
      <w:r>
        <w:rPr>
          <w:b/>
          <w:sz w:val="24"/>
        </w:rPr>
        <w:t>]</w:t>
      </w:r>
    </w:p>
    <w:p>
      <w:pPr>
        <w:pStyle w:val="Normal"/>
        <w:rPr>
          <w:sz w:val="24"/>
        </w:rPr>
      </w:pPr>
      <w:r>
        <w:rPr>
          <w:sz w:val="24"/>
        </w:rPr>
      </w:r>
    </w:p>
    <w:p>
      <w:pPr>
        <w:pStyle w:val="Normal"/>
        <w:rPr>
          <w:sz w:val="24"/>
        </w:rPr>
      </w:pPr>
      <w:r>
        <w:rPr>
          <w:sz w:val="24"/>
        </w:rPr>
        <w:tab/>
        <w:t>Re:  Credit No. _______________</w:t>
      </w:r>
    </w:p>
    <w:p>
      <w:pPr>
        <w:pStyle w:val="Normal"/>
        <w:rPr>
          <w:sz w:val="24"/>
        </w:rPr>
      </w:pPr>
      <w:r>
        <w:rPr>
          <w:sz w:val="24"/>
        </w:rPr>
      </w:r>
    </w:p>
    <w:p>
      <w:pPr>
        <w:pStyle w:val="Normal"/>
        <w:jc w:val="both"/>
        <w:rPr/>
      </w:pPr>
      <w:r>
        <w:rPr>
          <w:sz w:val="24"/>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sz w:val="24"/>
          <w:u w:val="single"/>
        </w:rPr>
        <w:t>Location</w:t>
      </w:r>
      <w:r>
        <w:rPr>
          <w:sz w:val="24"/>
        </w:rPr>
        <w:t>) on or before the expiration hereof against presentation to us of the following statement, dated and signed by a representative of the beneficiary:</w:t>
      </w:r>
    </w:p>
    <w:p>
      <w:pPr>
        <w:pStyle w:val="Normal"/>
        <w:jc w:val="both"/>
        <w:rPr>
          <w:sz w:val="24"/>
        </w:rPr>
      </w:pPr>
      <w:r>
        <w:rPr>
          <w:sz w:val="24"/>
        </w:rPr>
      </w:r>
    </w:p>
    <w:p>
      <w:pPr>
        <w:pStyle w:val="BodyTextIndent3"/>
        <w:tabs>
          <w:tab w:val="left" w:pos="720" w:leader="none"/>
        </w:tabs>
        <w:spacing w:before="0" w:after="0"/>
        <w:rPr/>
      </w:pPr>
      <w:r>
        <w:rPr/>
        <w:t>1.</w:t>
        <w:tab/>
        <w:t>“An Event of Default as defined in the Western Systems Power Pool Agreement (the “WSPP Agreement”) has occurred and is continuing with respect to Account Party under the WSPP Agreement and no Event of Default has occurred and is continuing with respect to the beneficiary of this Letter of Credit.  Wherefore, the undersigned does hereby demand payment of the entire undrawn amount of the Letter of Credit”.</w:t>
      </w:r>
    </w:p>
    <w:p>
      <w:pPr>
        <w:pStyle w:val="Normal"/>
        <w:tabs>
          <w:tab w:val="left" w:pos="720" w:leader="none"/>
        </w:tabs>
        <w:ind w:hanging="720" w:start="720" w:end="0"/>
        <w:jc w:val="both"/>
        <w:rPr>
          <w:sz w:val="24"/>
        </w:rPr>
      </w:pPr>
      <w:r>
        <w:rPr>
          <w:sz w:val="24"/>
        </w:rPr>
        <w:t xml:space="preserve"> </w:t>
      </w:r>
    </w:p>
    <w:p>
      <w:pPr>
        <w:pStyle w:val="Normal"/>
        <w:tabs>
          <w:tab w:val="left" w:pos="720" w:leader="none"/>
        </w:tabs>
        <w:jc w:val="both"/>
        <w:rPr>
          <w:sz w:val="24"/>
        </w:rPr>
      </w:pPr>
      <w:r>
        <w:rPr>
          <w:sz w:val="24"/>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4"/>
        </w:rPr>
      </w:pPr>
      <w:r>
        <w:rPr>
          <w:sz w:val="24"/>
        </w:rPr>
        <w:tab/>
      </w:r>
    </w:p>
    <w:p>
      <w:pPr>
        <w:pStyle w:val="Normal"/>
        <w:tabs>
          <w:tab w:val="left" w:pos="720" w:leader="none"/>
        </w:tabs>
        <w:jc w:val="both"/>
        <w:rPr>
          <w:sz w:val="24"/>
        </w:rPr>
      </w:pPr>
      <w:r>
        <w:rPr>
          <w:sz w:val="24"/>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4"/>
        </w:rPr>
      </w:pPr>
      <w:r>
        <w:rPr>
          <w:sz w:val="24"/>
        </w:rPr>
      </w:r>
    </w:p>
    <w:p>
      <w:pPr>
        <w:pStyle w:val="Normal"/>
        <w:tabs>
          <w:tab w:val="left" w:pos="720" w:leader="none"/>
        </w:tabs>
        <w:jc w:val="both"/>
        <w:rPr>
          <w:sz w:val="24"/>
        </w:rPr>
      </w:pPr>
      <w:r>
        <w:rPr>
          <w:sz w:val="24"/>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rPr>
          <w:rFonts w:ascii="Times New Roman" w:hAnsi="Times New Roman" w:cs="Times New Roman"/>
          <w:sz w:val="24"/>
        </w:rPr>
      </w:pPr>
      <w:r>
        <w:rPr>
          <w:rFonts w:cs="Times New Roman" w:ascii="Times New Roman" w:hAnsi="Times New Roman"/>
          <w:sz w:val="24"/>
        </w:rPr>
        <w:tab/>
      </w:r>
    </w:p>
    <w:p>
      <w:pPr>
        <w:pStyle w:val="BodyText"/>
        <w:rPr>
          <w:rFonts w:ascii="Times New Roman" w:hAnsi="Times New Roman" w:cs="Times New Roman"/>
          <w:sz w:val="24"/>
        </w:rPr>
      </w:pPr>
      <w:r>
        <w:rPr>
          <w:rFonts w:cs="Times New Roman" w:ascii="Times New Roman" w:hAnsi="Times New Roman"/>
          <w:sz w:val="24"/>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Times New Roman" w:hAnsi="Times New Roman" w:cs="Times New Roman"/>
          <w:sz w:val="24"/>
        </w:rPr>
      </w:pPr>
      <w:r>
        <w:rPr>
          <w:rFonts w:cs="Times New Roman"/>
          <w:sz w:val="24"/>
        </w:rPr>
      </w:r>
    </w:p>
    <w:p>
      <w:pPr>
        <w:pStyle w:val="Normal"/>
        <w:tabs>
          <w:tab w:val="left" w:pos="720" w:leader="none"/>
        </w:tabs>
        <w:jc w:val="both"/>
        <w:rPr>
          <w:sz w:val="24"/>
        </w:rPr>
      </w:pPr>
      <w:r>
        <w:rPr>
          <w:sz w:val="24"/>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4"/>
        </w:rPr>
      </w:pPr>
      <w:r>
        <w:rPr>
          <w:sz w:val="24"/>
        </w:rPr>
      </w:r>
    </w:p>
    <w:p>
      <w:pPr>
        <w:pStyle w:val="BodyText3"/>
        <w:tabs>
          <w:tab w:val="clear" w:pos="0"/>
          <w:tab w:val="left" w:pos="720" w:leader="none"/>
        </w:tabs>
        <w:suppressAutoHyphens w:val="false"/>
        <w:rPr/>
      </w:pPr>
      <w:r>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sz w:val="24"/>
        </w:rPr>
      </w:pPr>
      <w:r>
        <w:rPr>
          <w:sz w:val="24"/>
        </w:rPr>
      </w:r>
    </w:p>
    <w:p>
      <w:pPr>
        <w:pStyle w:val="Normal"/>
        <w:jc w:val="center"/>
        <w:rPr>
          <w:sz w:val="24"/>
          <w:lang w:val="en-CA"/>
        </w:rPr>
      </w:pPr>
      <w:r>
        <w:rPr>
          <w:b/>
          <w:sz w:val="24"/>
        </w:rPr>
        <w:t>[</w:t>
      </w:r>
      <w:r>
        <w:rPr>
          <w:sz w:val="24"/>
        </w:rPr>
        <w:t>BANK SIGNATURE</w:t>
      </w:r>
      <w:r>
        <w:rPr>
          <w:b/>
          <w:sz w:val="24"/>
        </w:rPr>
        <w:t>]</w:t>
      </w:r>
    </w:p>
    <w:p>
      <w:pPr>
        <w:pStyle w:val="Normal"/>
        <w:rPr>
          <w:sz w:val="24"/>
          <w:lang w:val="en-CA"/>
        </w:rPr>
      </w:pPr>
      <w:r>
        <w:rPr>
          <w:sz w:val="24"/>
          <w:lang w:val="en-CA"/>
        </w:rPr>
      </w:r>
    </w:p>
    <w:p>
      <w:pPr>
        <w:pStyle w:val="Normal"/>
        <w:jc w:val="center"/>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tabs>
          <w:tab w:val="clear" w:pos="720"/>
          <w:tab w:val="left" w:pos="-1440" w:leader="none"/>
          <w:tab w:val="left" w:pos="-720" w:leader="none"/>
          <w:tab w:val="left" w:pos="4034" w:leader="none"/>
        </w:tabs>
        <w:suppressAutoHyphens w:val="true"/>
        <w:ind w:end="720"/>
        <w:jc w:val="both"/>
        <w:rPr>
          <w:sz w:val="24"/>
        </w:rPr>
      </w:pPr>
      <w:r>
        <w:rPr>
          <w:sz w:val="24"/>
        </w:rPr>
        <w:t xml:space="preserve"> </w:t>
      </w:r>
    </w:p>
    <w:p>
      <w:pPr>
        <w:pStyle w:val="Normal"/>
        <w:tabs>
          <w:tab w:val="clear" w:pos="720"/>
          <w:tab w:val="left" w:pos="-1440" w:leader="none"/>
          <w:tab w:val="left" w:pos="-720" w:leader="none"/>
          <w:tab w:val="left" w:pos="4034" w:leader="none"/>
        </w:tabs>
        <w:suppressAutoHyphens w:val="true"/>
        <w:ind w:end="720"/>
        <w:jc w:val="both"/>
        <w:rPr>
          <w:sz w:val="24"/>
        </w:rPr>
      </w:pPr>
      <w:r>
        <w:rPr>
          <w:sz w:val="24"/>
        </w:rPr>
      </w:r>
    </w:p>
    <w:p>
      <w:pPr>
        <w:pStyle w:val="Normal"/>
        <w:tabs>
          <w:tab w:val="clear" w:pos="720"/>
          <w:tab w:val="left" w:pos="-1440" w:leader="none"/>
          <w:tab w:val="left" w:pos="-720" w:leader="none"/>
          <w:tab w:val="left" w:pos="4034" w:leader="none"/>
        </w:tabs>
        <w:suppressAutoHyphens w:val="true"/>
        <w:ind w:end="720"/>
        <w:jc w:val="both"/>
        <w:rPr>
          <w:sz w:val="24"/>
        </w:rPr>
      </w:pPr>
      <w:r>
        <w:rPr>
          <w:sz w:val="24"/>
        </w:rPr>
      </w:r>
    </w:p>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rPr>
        <w:rStyle w:val="PageNumber"/>
        <w:sz w:val="12"/>
      </w:rPr>
    </w:pPr>
    <w:bookmarkStart w:id="0" w:name="DateTime"/>
    <w:bookmarkStart w:id="1" w:name="DocName"/>
    <w:bookmarkEnd w:id="0"/>
    <w:bookmarkEnd w:id="1"/>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/mnt/main-storage/datasets/enron-docs/doc/WSPP_Collateral_Annex_102901.doc</w:t>
    </w:r>
    <w:r>
      <w:rPr>
        <w:rStyle w:val="PageNumber"/>
        <w:sz w:val="12"/>
      </w:rPr>
      <w:fldChar w:fldCharType="end"/>
    </w:r>
  </w:p>
  <w:p>
    <w:pPr>
      <w:pStyle w:val="Footer"/>
      <w:rPr>
        <w:rStyle w:val="PageNumber"/>
        <w:sz w:val="12"/>
      </w:rPr>
    </w:pPr>
    <w:r>
      <w:rPr>
        <w:rStyle w:val="PageNumber"/>
        <w:sz w:val="12"/>
      </w:rPr>
      <w:fldChar w:fldCharType="begin"/>
    </w:r>
    <w:r>
      <w:rPr>
        <w:rStyle w:val="PageNumber"/>
        <w:sz w:val="12"/>
      </w:rPr>
      <w:instrText xml:space="preserve"> DATE \@"MMMM\ d', 'yyyy\ H:mm\ AM/PM" </w:instrText>
    </w:r>
    <w:r>
      <w:rPr>
        <w:rStyle w:val="PageNumber"/>
        <w:sz w:val="12"/>
      </w:rPr>
      <w:fldChar w:fldCharType="separate"/>
    </w:r>
    <w:r>
      <w:rPr>
        <w:rStyle w:val="PageNumber"/>
        <w:sz w:val="12"/>
      </w:rPr>
      <w:t>September 28, 2025 9:23 AM</w:t>
    </w:r>
    <w:r>
      <w:rPr>
        <w:rStyle w:val="PageNumber"/>
        <w:sz w:val="12"/>
      </w:rPr>
      <w:fldChar w:fldCharType="end"/>
    </w:r>
  </w:p>
  <w:p>
    <w:pPr>
      <w:pStyle w:val="Footer"/>
      <w:rPr>
        <w:rStyle w:val="PageNumber"/>
        <w:sz w:val="12"/>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/mnt/main-storage/datasets/enron-docs/doc/WSPP_Collateral_Annex_102901.doc</w:t>
    </w:r>
    <w:r>
      <w:rPr>
        <w:rStyle w:val="PageNumber"/>
        <w:sz w:val="12"/>
      </w:rPr>
      <w:fldChar w:fldCharType="end"/>
    </w:r>
  </w:p>
  <w:p>
    <w:pPr>
      <w:pStyle w:val="Footer"/>
      <w:rPr/>
    </w:pPr>
    <w:r>
      <w:rPr>
        <w:rStyle w:val="PageNumber"/>
        <w:sz w:val="12"/>
      </w:rPr>
      <w:fldChar w:fldCharType="begin"/>
    </w:r>
    <w:r>
      <w:rPr>
        <w:rStyle w:val="PageNumber"/>
        <w:sz w:val="12"/>
      </w:rPr>
      <w:instrText xml:space="preserve"> DATE \@"MMMM\ d', 'yyyy\ H:mm\ AM/PM" </w:instrText>
    </w:r>
    <w:r>
      <w:rPr>
        <w:rStyle w:val="PageNumber"/>
        <w:sz w:val="12"/>
      </w:rPr>
      <w:fldChar w:fldCharType="separate"/>
    </w:r>
    <w:r>
      <w:rPr>
        <w:rStyle w:val="PageNumber"/>
        <w:sz w:val="12"/>
      </w:rPr>
      <w:t>September 28, 2025 9:23 AM</w:t>
    </w:r>
    <w:r>
      <w:rPr>
        <w:rStyle w:val="PageNumber"/>
        <w:sz w:val="12"/>
      </w:rPr>
      <w:fldChar w:fldCharType="end"/>
    </w:r>
  </w:p>
  <w:p>
    <w:pPr>
      <w:pStyle w:val="Footer"/>
      <w:rPr>
        <w:rStyle w:val="PageNumber"/>
        <w:sz w:val="12"/>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rPr>
        <w:rStyle w:val="PageNumber"/>
      </w:rPr>
    </w:pPr>
    <w:r>
      <w:rPr/>
    </w:r>
  </w:p>
  <w:p>
    <w:pPr>
      <w:pStyle w:val="Footer"/>
      <w:rPr>
        <w:rStyle w:val="PageNumber"/>
        <w:sz w:val="12"/>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/mnt/main-storage/datasets/enron-docs/doc/WSPP_Collateral_Annex_102901.doc</w:t>
    </w:r>
    <w:r>
      <w:rPr>
        <w:rStyle w:val="PageNumber"/>
        <w:sz w:val="12"/>
      </w:rPr>
      <w:fldChar w:fldCharType="end"/>
    </w:r>
  </w:p>
  <w:p>
    <w:pPr>
      <w:pStyle w:val="Footer"/>
      <w:rPr>
        <w:rStyle w:val="PageNumber"/>
        <w:sz w:val="12"/>
      </w:rPr>
    </w:pPr>
    <w:r>
      <w:rPr>
        <w:rStyle w:val="PageNumber"/>
        <w:sz w:val="12"/>
      </w:rPr>
      <w:fldChar w:fldCharType="begin"/>
    </w:r>
    <w:r>
      <w:rPr>
        <w:rStyle w:val="PageNumber"/>
        <w:sz w:val="12"/>
      </w:rPr>
      <w:instrText xml:space="preserve"> DATE \@"MMMM\ d', 'yyyy\ H:mm\ AM/PM" </w:instrText>
    </w:r>
    <w:r>
      <w:rPr>
        <w:rStyle w:val="PageNumber"/>
        <w:sz w:val="12"/>
      </w:rPr>
      <w:fldChar w:fldCharType="separate"/>
    </w:r>
    <w:r>
      <w:rPr>
        <w:rStyle w:val="PageNumber"/>
        <w:sz w:val="12"/>
      </w:rPr>
      <w:t>September 28, 2025 9:23 AM</w:t>
    </w:r>
    <w:r>
      <w:rPr>
        <w:rStyle w:val="PageNumber"/>
        <w:sz w:val="12"/>
      </w:rPr>
      <w:fldChar w:fldCharType="end"/>
    </w:r>
  </w:p>
  <w:p>
    <w:pPr>
      <w:pStyle w:val="Footer"/>
      <w:rPr>
        <w:rStyle w:val="PageNumber"/>
        <w:sz w:val="12"/>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w:t>
    </w:r>
  </w:p>
  <w:p>
    <w:pPr>
      <w:pStyle w:val="Header"/>
      <w:jc w:val="end"/>
      <w:rPr>
        <w:b/>
      </w:rPr>
    </w:pPr>
    <w:r>
      <w:rPr>
        <w:b/>
      </w:rPr>
      <w:t>FOR DISCUSSION PURPOSES ONLY</w:t>
    </w:r>
  </w:p>
  <w:p>
    <w:pPr>
      <w:pStyle w:val="Header"/>
      <w:jc w:val="end"/>
      <w:rPr>
        <w:b/>
      </w:rPr>
    </w:pPr>
    <w:r>
      <w:rPr>
        <w:b/>
      </w:rPr>
    </w:r>
  </w:p>
  <w:p>
    <w:pPr>
      <w:pStyle w:val="Header"/>
      <w:jc w:val="end"/>
      <w:rPr>
        <w:b/>
      </w:rPr>
    </w:pPr>
    <w:r>
      <w:rPr>
        <w:b/>
      </w:rPr>
    </w:r>
  </w:p>
  <w:p>
    <w:pPr>
      <w:pStyle w:val="Header"/>
      <w:jc w:val="end"/>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p>
    <w:pPr>
      <w:pStyle w:val="Header"/>
      <w:jc w:val="end"/>
      <w:rPr>
        <w:b/>
      </w:rPr>
    </w:pPr>
    <w:r>
      <w:rPr>
        <w:b/>
      </w:rPr>
    </w:r>
  </w:p>
  <w:p>
    <w:pPr>
      <w:pStyle w:val="Header"/>
      <w:jc w:val="end"/>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w:lvlJc w:val="start"/>
      <w:pPr>
        <w:tabs>
          <w:tab w:val="num" w:pos="360"/>
        </w:tabs>
        <w:ind w:start="0" w:hanging="0"/>
      </w:pPr>
      <w:rPr>
        <w:sz w:val="20"/>
      </w:rPr>
    </w:lvl>
    <w:lvl w:ilvl="1">
      <w:start w:val="1"/>
      <w:pStyle w:val="Heading2"/>
      <w:numFmt w:val="decimal"/>
      <w:lvlText w:val=".%2 "/>
      <w:lvlJc w:val="start"/>
      <w:pPr>
        <w:tabs>
          <w:tab w:val="num" w:pos="360"/>
        </w:tabs>
        <w:ind w:start="0" w:hanging="0"/>
      </w:pPr>
      <w:rPr>
        <w:sz w:val="20"/>
      </w:rPr>
    </w:lvl>
    <w:lvl w:ilvl="2">
      <w:start w:val="1"/>
      <w:pStyle w:val="Heading3"/>
      <w:numFmt w:val="decimal"/>
      <w:lvlText w:val=".%3 "/>
      <w:lvlJc w:val="start"/>
      <w:pPr>
        <w:tabs>
          <w:tab w:val="num" w:pos="360"/>
        </w:tabs>
        <w:ind w:start="0" w:hanging="0"/>
      </w:pPr>
      <w:rPr>
        <w:sz w:val="20"/>
      </w:rPr>
    </w:lvl>
    <w:lvl w:ilvl="3">
      <w:start w:val="1"/>
      <w:pStyle w:val="Heading4"/>
      <w:numFmt w:val="lowerLetter"/>
      <w:lvlText w:val="(%4) "/>
      <w:lvlJc w:val="start"/>
      <w:pPr>
        <w:tabs>
          <w:tab w:val="num" w:pos="360"/>
        </w:tabs>
        <w:ind w:start="0" w:hanging="0"/>
      </w:pPr>
      <w:rPr>
        <w:sz w:val="20"/>
      </w:rPr>
    </w:lvl>
    <w:lvl w:ilvl="4">
      <w:start w:val="1"/>
      <w:pStyle w:val="Heading5"/>
      <w:numFmt w:val="lowerRoman"/>
      <w:lvlText w:val="(%5) "/>
      <w:lvlJc w:val="start"/>
      <w:pPr>
        <w:tabs>
          <w:tab w:val="num" w:pos="360"/>
        </w:tabs>
        <w:ind w:start="0" w:hanging="0"/>
      </w:pPr>
      <w:rPr>
        <w:sz w:val="20"/>
      </w:r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3"/>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keepLines/>
      <w:numPr>
        <w:ilvl w:val="0"/>
        <w:numId w:val="1"/>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0" w:after="240"/>
      <w:jc w:val="center"/>
      <w:outlineLvl w:val="0"/>
    </w:pPr>
    <w:rPr>
      <w:caps/>
      <w:u w:val="single"/>
    </w:rPr>
  </w:style>
  <w:style w:type="paragraph" w:styleId="Heading2">
    <w:name w:val="heading 2"/>
    <w:basedOn w:val="Normal"/>
    <w:next w:val="Normal"/>
    <w:qFormat/>
    <w:pPr>
      <w:numPr>
        <w:ilvl w:val="1"/>
        <w:numId w:val="1"/>
      </w:numPr>
      <w:spacing w:lineRule="auto" w:line="360" w:before="0" w:after="120"/>
      <w:ind w:firstLine="360" w:start="0" w:end="0"/>
      <w:jc w:val="both"/>
      <w:outlineLvl w:val="1"/>
    </w:pPr>
    <w:rPr/>
  </w:style>
  <w:style w:type="paragraph" w:styleId="Heading3">
    <w:name w:val="heading 3"/>
    <w:basedOn w:val="Normal"/>
    <w:next w:val="Normal"/>
    <w:qFormat/>
    <w:pPr>
      <w:numPr>
        <w:ilvl w:val="2"/>
        <w:numId w:val="1"/>
      </w:numPr>
      <w:spacing w:lineRule="auto" w:line="360" w:before="0" w:after="120"/>
      <w:ind w:firstLine="720" w:start="0" w:end="0"/>
      <w:jc w:val="both"/>
      <w:outlineLvl w:val="2"/>
    </w:pPr>
    <w:rPr/>
  </w:style>
  <w:style w:type="paragraph" w:styleId="Heading4">
    <w:name w:val="heading 4"/>
    <w:basedOn w:val="Normal"/>
    <w:next w:val="Normal"/>
    <w:qFormat/>
    <w:pPr>
      <w:numPr>
        <w:ilvl w:val="3"/>
        <w:numId w:val="1"/>
      </w:numPr>
      <w:spacing w:lineRule="auto" w:line="360" w:before="0" w:after="120"/>
      <w:ind w:firstLine="1080" w:start="0" w:end="0"/>
      <w:jc w:val="both"/>
      <w:outlineLvl w:val="3"/>
    </w:pPr>
    <w:rPr/>
  </w:style>
  <w:style w:type="paragraph" w:styleId="Heading5">
    <w:name w:val="heading 5"/>
    <w:basedOn w:val="Normal"/>
    <w:next w:val="Normal"/>
    <w:qFormat/>
    <w:pPr>
      <w:numPr>
        <w:ilvl w:val="4"/>
        <w:numId w:val="1"/>
      </w:numPr>
      <w:spacing w:lineRule="auto" w:line="360" w:before="0" w:after="120"/>
      <w:ind w:firstLine="1440" w:start="0" w:end="0"/>
      <w:jc w:val="both"/>
      <w:outlineLvl w:val="4"/>
    </w:pPr>
    <w:rPr/>
  </w:style>
  <w:style w:type="paragraph" w:styleId="Heading6">
    <w:name w:val="heading 6"/>
    <w:basedOn w:val="Normal"/>
    <w:next w:val="Normal"/>
    <w:qFormat/>
    <w:pPr>
      <w:widowControl w:val="false"/>
      <w:numPr>
        <w:ilvl w:val="5"/>
        <w:numId w:val="1"/>
      </w:numPr>
      <w:tabs>
        <w:tab w:val="clear" w:pos="720"/>
        <w:tab w:val="left" w:pos="0" w:leader="none"/>
      </w:tabs>
      <w:spacing w:before="240" w:after="60"/>
      <w:outlineLvl w:val="5"/>
    </w:pPr>
    <w:rPr>
      <w:i/>
      <w:sz w:val="22"/>
    </w:rPr>
  </w:style>
  <w:style w:type="paragraph" w:styleId="Heading7">
    <w:name w:val="heading 7"/>
    <w:basedOn w:val="Normal"/>
    <w:next w:val="Normal"/>
    <w:qFormat/>
    <w:pPr>
      <w:widowControl w:val="false"/>
      <w:numPr>
        <w:ilvl w:val="6"/>
        <w:numId w:val="1"/>
      </w:numPr>
      <w:tabs>
        <w:tab w:val="clear" w:pos="720"/>
        <w:tab w:val="left" w:pos="0" w:leader="none"/>
      </w:tabs>
      <w:spacing w:before="240" w:after="60"/>
      <w:outlineLvl w:val="6"/>
    </w:pPr>
    <w:rPr>
      <w:rFonts w:ascii="Arial" w:hAnsi="Arial" w:cs="Arial"/>
    </w:rPr>
  </w:style>
  <w:style w:type="paragraph" w:styleId="Heading8">
    <w:name w:val="heading 8"/>
    <w:basedOn w:val="Normal"/>
    <w:next w:val="Normal"/>
    <w:qFormat/>
    <w:pPr>
      <w:widowControl w:val="false"/>
      <w:numPr>
        <w:ilvl w:val="7"/>
        <w:numId w:val="1"/>
      </w:numPr>
      <w:tabs>
        <w:tab w:val="clear" w:pos="720"/>
        <w:tab w:val="left" w:pos="0" w:leader="none"/>
      </w:tabs>
      <w:spacing w:before="240" w:after="60"/>
      <w:outlineLvl w:val="7"/>
    </w:pPr>
    <w:rPr>
      <w:rFonts w:ascii="Arial" w:hAnsi="Arial" w:cs="Arial"/>
      <w:i/>
    </w:rPr>
  </w:style>
  <w:style w:type="paragraph" w:styleId="Heading9">
    <w:name w:val="heading 9"/>
    <w:basedOn w:val="Normal"/>
    <w:next w:val="Normal"/>
    <w:qFormat/>
    <w:pPr>
      <w:widowControl w:val="false"/>
      <w:numPr>
        <w:ilvl w:val="8"/>
        <w:numId w:val="1"/>
      </w:numPr>
      <w:tabs>
        <w:tab w:val="clear" w:pos="720"/>
        <w:tab w:val="left" w:pos="0" w:leader="none"/>
      </w:tabs>
      <w:spacing w:before="240" w:after="60"/>
      <w:outlineLvl w:val="8"/>
    </w:pPr>
    <w:rPr>
      <w:rFonts w:ascii="Arial" w:hAnsi="Arial" w:cs="Arial"/>
      <w:b/>
      <w:i/>
      <w:sz w:val="18"/>
    </w:rPr>
  </w:style>
  <w:style w:type="character" w:styleId="WW8Num1z0">
    <w:name w:val="WW8Num1z0"/>
    <w:qFormat/>
    <w:rPr>
      <w:sz w:val="20"/>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u w:val="non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trike w:val="false"/>
      <w:dstrike w:val="false"/>
      <w:color w:val="auto"/>
      <w:position w:val="0"/>
      <w:sz w:val="22"/>
      <w:sz w:val="22"/>
      <w:u w:val="none"/>
      <w:vertAlign w:val="baseline"/>
    </w:rPr>
  </w:style>
  <w:style w:type="character" w:styleId="EndnoteCharacters">
    <w:name w:val="Endnote Characters"/>
    <w:basedOn w:val="DefaultParagraphFont"/>
    <w:qFormat/>
    <w:rPr>
      <w:vertAlign w:val="superscript"/>
    </w:rPr>
  </w:style>
  <w:style w:type="character" w:styleId="ParaNum">
    <w:name w:val="ParaNum"/>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0" w:leader="none"/>
      </w:tabs>
      <w:suppressAutoHyphens w:val="true"/>
      <w:jc w:val="both"/>
    </w:pPr>
    <w:rPr>
      <w:rFonts w:ascii="CG Times" w:hAnsi="CG Times" w:cs="CG Time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PASSParawIndent">
    <w:name w:val="PA S/S Para w/Indent"/>
    <w:basedOn w:val="Normal"/>
    <w:qFormat/>
    <w:pPr>
      <w:widowControl w:val="false"/>
      <w:spacing w:before="240" w:after="0"/>
      <w:ind w:firstLine="720" w:start="0" w:end="0"/>
      <w:jc w:val="both"/>
    </w:pPr>
    <w:rPr>
      <w:rFonts w:ascii="CG Times" w:hAnsi="CG Times" w:cs="CG Times"/>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BodyText"/>
    <w:next w:val="BodyText"/>
    <w:pPr>
      <w:widowControl/>
      <w:tabs>
        <w:tab w:val="clear" w:pos="0"/>
      </w:tabs>
      <w:suppressAutoHyphens w:val="false"/>
      <w:spacing w:before="0" w:after="240"/>
      <w:ind w:hanging="0" w:start="1440" w:end="0"/>
      <w:jc w:val="start"/>
    </w:pPr>
    <w:rPr>
      <w:rFonts w:ascii="Times New Roman" w:hAnsi="Times New Roman" w:cs="Times New Roman"/>
      <w:sz w:val="24"/>
    </w:rPr>
  </w:style>
  <w:style w:type="paragraph" w:styleId="BodyTextFirstIndent">
    <w:name w:val="Body Text First Indent"/>
    <w:basedOn w:val="BodyText"/>
    <w:qFormat/>
    <w:pPr>
      <w:widowControl/>
      <w:tabs>
        <w:tab w:val="clear" w:pos="0"/>
      </w:tabs>
      <w:suppressAutoHyphens w:val="false"/>
      <w:spacing w:before="0" w:after="120"/>
      <w:ind w:firstLine="210" w:start="0" w:end="0"/>
      <w:jc w:val="start"/>
    </w:pPr>
    <w:rPr>
      <w:rFonts w:ascii="Times New Roman" w:hAnsi="Times New Roman" w:cs="Times New Roman"/>
      <w:sz w:val="20"/>
    </w:rPr>
  </w:style>
  <w:style w:type="paragraph" w:styleId="EndnoteText">
    <w:name w:val="endnote text"/>
    <w:basedOn w:val="BodyTextFirstIndent"/>
    <w:pPr>
      <w:ind w:hanging="0" w:start="0" w:end="0"/>
    </w:pPr>
    <w:rPr/>
  </w:style>
  <w:style w:type="paragraph" w:styleId="BodyTextIndent2">
    <w:name w:val="Body Text Indent 2"/>
    <w:basedOn w:val="Normal"/>
    <w:qFormat/>
    <w:pPr>
      <w:spacing w:before="240" w:after="0"/>
      <w:ind w:hanging="0" w:start="360" w:end="0"/>
      <w:jc w:val="both"/>
    </w:pPr>
    <w:rPr>
      <w:rFonts w:ascii="Arial Narrow" w:hAnsi="Arial Narrow" w:cs="Arial Narrow"/>
      <w:sz w:val="18"/>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pPr>
    <w:rPr>
      <w:color w:val="000000"/>
      <w:sz w:val="22"/>
    </w:rPr>
  </w:style>
  <w:style w:type="paragraph" w:styleId="BodyTextIndent3">
    <w:name w:val="Body Text Indent 3"/>
    <w:basedOn w:val="Normal"/>
    <w:qFormat/>
    <w:pPr>
      <w:spacing w:before="240" w:after="0"/>
      <w:ind w:hanging="0" w:start="360" w:end="0"/>
      <w:jc w:val="both"/>
    </w:pPr>
    <w:rPr>
      <w:sz w:val="24"/>
    </w:rPr>
  </w:style>
  <w:style w:type="paragraph" w:styleId="BodyText3">
    <w:name w:val="Body Text 3"/>
    <w:basedOn w:val="Normal"/>
    <w:qFormat/>
    <w:pPr>
      <w:tabs>
        <w:tab w:val="clear" w:pos="720"/>
        <w:tab w:val="left" w:pos="0" w:leader="none"/>
      </w:tabs>
      <w:suppressAutoHyphens w:val="true"/>
      <w:jc w:val="both"/>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2001-10-29T19:59:00Z</dcterms:created>
  <dc:creator>formosos</dc:creator>
  <dc:description/>
  <dc:language>en-CA</dc:language>
  <cp:lastModifiedBy>200909</cp:lastModifiedBy>
  <cp:lastPrinted>2001-10-29T16:51:00Z</cp:lastPrinted>
  <dcterms:modified xsi:type="dcterms:W3CDTF">2001-10-29T20:29:00Z</dcterms:modified>
  <cp:revision>6</cp:revision>
  <dc:subject/>
  <dc:title>COLLATERAL ANNEX</dc:title>
</cp:coreProperties>
</file>