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rPr>
          <w:sz w:val="20"/>
        </w:rPr>
      </w:pPr>
      <w:r>
        <w:rPr>
          <w:sz w:val="20"/>
        </w:rPr>
      </w:r>
    </w:p>
    <w:p>
      <w:pPr>
        <w:pStyle w:val="center"/>
        <w:rPr>
          <w:rFonts w:ascii="Arial Narrow" w:hAnsi="Arial Narrow" w:cs="Arial Narrow"/>
          <w:color w:val="FF0000"/>
          <w:sz w:val="22"/>
        </w:rPr>
      </w:pPr>
      <w:r>
        <w:rPr>
          <w:rFonts w:cs="Arial Narrow" w:ascii="Arial Narrow" w:hAnsi="Arial Narrow"/>
          <w:color w:val="FF0000"/>
          <w:sz w:val="22"/>
        </w:rPr>
        <w:t>[NOTE: This Amendment is meant to serve as a starting point for the incorporation of more comprehensive credit terms in the WSPP Agreement. The Amendment should be customized to reflect the creditworthiness of each Party and moreover, the Parties can chose to incorporate all or part of Paragraphs 4 and 5.]</w:t>
      </w:r>
    </w:p>
    <w:p>
      <w:pPr>
        <w:pStyle w:val="center"/>
        <w:rPr>
          <w:rFonts w:ascii="Arial Narrow" w:hAnsi="Arial Narrow" w:cs="Arial Narrow"/>
          <w:color w:val="FF0000"/>
          <w:sz w:val="20"/>
        </w:rPr>
      </w:pPr>
      <w:r>
        <w:rPr>
          <w:rFonts w:cs="Arial Narrow" w:ascii="Arial Narrow" w:hAnsi="Arial Narrow"/>
          <w:color w:val="FF0000"/>
          <w:sz w:val="20"/>
        </w:rPr>
      </w:r>
    </w:p>
    <w:p>
      <w:pPr>
        <w:pStyle w:val="center"/>
        <w:rPr>
          <w:sz w:val="20"/>
        </w:rPr>
      </w:pPr>
      <w:r>
        <w:rPr>
          <w:sz w:val="20"/>
        </w:rPr>
      </w:r>
    </w:p>
    <w:p>
      <w:pPr>
        <w:pStyle w:val="center"/>
        <w:rPr>
          <w:sz w:val="20"/>
        </w:rPr>
      </w:pPr>
      <w:r>
        <w:rPr>
          <w:sz w:val="20"/>
        </w:rPr>
      </w:r>
    </w:p>
    <w:p>
      <w:pPr>
        <w:pStyle w:val="center"/>
        <w:rPr>
          <w:sz w:val="20"/>
        </w:rPr>
      </w:pPr>
      <w:r>
        <w:rPr>
          <w:sz w:val="20"/>
        </w:rPr>
        <w:t>AMENDMENT AGREEMENT</w:t>
      </w:r>
    </w:p>
    <w:p>
      <w:pPr>
        <w:pStyle w:val="Header"/>
        <w:tabs>
          <w:tab w:val="clear" w:pos="4320"/>
          <w:tab w:val="clear" w:pos="8640"/>
        </w:tabs>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pPr>
      <w:r>
        <w:rPr>
          <w:sz w:val="20"/>
        </w:rPr>
        <w:tab/>
        <w:t xml:space="preserve">This Amendment Agreement ("Amendment") is made and entered into effective as of  ____________, by and between </w:t>
      </w:r>
      <w:r>
        <w:rPr>
          <w:b/>
          <w:sz w:val="20"/>
        </w:rPr>
        <w:t xml:space="preserve">______________ </w:t>
      </w:r>
      <w:r>
        <w:rPr>
          <w:sz w:val="20"/>
        </w:rPr>
        <w:t>("Party A") and ______________________ ("Party B"), each a "Party" and collectively the "Parties".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from time to time, Party A and Party B (collectively the “Parties”) have entered into or will enter into transactions for the purchase and sale of power pursuant to the Western Systems Power Pool Agreement (“WSPP Agreement”);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Party A and Party B agree herein that if and when power purchase and sale transactions are entered into between them under the WSPP Agreement, the terms of the WSPP Agreement, as it is amended from time to time by FERC order, and by this Amendment, shall apply;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to the extent there are any inconsistencies between the WSPP Agreement on file at FERC and this Amendment, this Amendment shall control;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NOW, THEREFORE, in consideration of the premises and the agreements herein contained, the Parties agree as follows: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Justified"/>
        <w:rPr>
          <w:sz w:val="20"/>
        </w:rPr>
      </w:pPr>
      <w:r>
        <w:rPr>
          <w:sz w:val="20"/>
        </w:rPr>
        <w:t>1.</w:t>
        <w:tab/>
        <w:t xml:space="preserve">All references in any writing related to the WSPP Agreement shall be to the Agreement as amended hereby.  </w:t>
      </w:r>
    </w:p>
    <w:p>
      <w:pPr>
        <w:pStyle w:val="Normal"/>
        <w:tabs>
          <w:tab w:val="clear" w:pos="720"/>
          <w:tab w:val="left" w:pos="360" w:leader="none"/>
          <w:tab w:val="left" w:pos="5040" w:leader="none"/>
          <w:tab w:val="left" w:pos="5760" w:leader="none"/>
          <w:tab w:val="left" w:pos="6480" w:leader="none"/>
        </w:tabs>
        <w:ind w:hanging="720" w:start="720" w:end="0"/>
        <w:jc w:val="both"/>
        <w:rPr>
          <w:sz w:val="20"/>
        </w:rPr>
      </w:pPr>
      <w:r>
        <w:rPr>
          <w:sz w:val="20"/>
        </w:rPr>
        <w:t>2.</w:t>
        <w:tab/>
        <w:t xml:space="preserve">       All capitalized terms used herein unless otherwise defined shall have the meanings given to them in the WSPP Agreement.</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Heading8"/>
        <w:jc w:val="both"/>
        <w:rPr>
          <w:sz w:val="20"/>
          <w:u w:val="none"/>
        </w:rPr>
      </w:pPr>
      <w:r>
        <w:rPr>
          <w:sz w:val="20"/>
          <w:u w:val="none"/>
        </w:rPr>
        <w:t xml:space="preserve">3.  </w:t>
        <w:tab/>
        <w:t>The following definitions are added to Section 4 of the WSPP Agreement:</w:t>
      </w:r>
    </w:p>
    <w:p>
      <w:pPr>
        <w:pStyle w:val="HParHeading2"/>
        <w:tabs>
          <w:tab w:val="clear" w:pos="360"/>
          <w:tab w:val="clear" w:pos="1440"/>
        </w:tabs>
        <w:spacing w:before="0" w:after="0"/>
        <w:outlineLvl w:val="9"/>
        <w:rPr>
          <w:sz w:val="20"/>
          <w:u w:val="none"/>
        </w:rPr>
      </w:pPr>
      <w:r>
        <w:rPr>
          <w:sz w:val="20"/>
          <w:u w:val="none"/>
        </w:rPr>
      </w:r>
    </w:p>
    <w:p>
      <w:pPr>
        <w:pStyle w:val="Normal"/>
        <w:ind w:start="1440" w:end="0"/>
        <w:jc w:val="both"/>
        <w:rPr/>
      </w:pPr>
      <w:r>
        <w:rPr>
          <w:sz w:val="20"/>
        </w:rPr>
        <w:t>“</w:t>
      </w:r>
      <w:r>
        <w:rPr>
          <w:sz w:val="20"/>
          <w:u w:val="single"/>
        </w:rPr>
        <w:t>Guarantor</w:t>
      </w:r>
      <w:r>
        <w:rPr>
          <w:sz w:val="20"/>
        </w:rPr>
        <w:t>” means, with respect to Party A, ____________; with respect to Party B, ____________________________.</w:t>
      </w:r>
    </w:p>
    <w:p>
      <w:pPr>
        <w:pStyle w:val="Normal"/>
        <w:ind w:start="1440" w:end="0"/>
        <w:jc w:val="both"/>
        <w:rPr>
          <w:sz w:val="20"/>
          <w:u w:val="single"/>
        </w:rPr>
      </w:pPr>
      <w:r>
        <w:rPr>
          <w:sz w:val="20"/>
          <w:u w:val="single"/>
        </w:rPr>
      </w:r>
    </w:p>
    <w:p>
      <w:pPr>
        <w:pStyle w:val="Normal"/>
        <w:ind w:start="1440" w:end="0"/>
        <w:jc w:val="both"/>
        <w:rPr/>
      </w:pPr>
      <w:r>
        <w:rPr>
          <w:sz w:val="20"/>
          <w:u w:val="single"/>
        </w:rPr>
        <w:t>Letter of Credit</w:t>
      </w:r>
      <w:r>
        <w:rPr>
          <w:sz w:val="20"/>
        </w:rPr>
        <w:t xml:space="preserve"> means one or more irrevocable, transferable standby letters of credit from a major U.S. commercial bank or a foreign bank with a U.S. branch office, with such bank having a credit rating of at least "A-" from S&amp;P or "A3" from Moody’s.  </w:t>
      </w:r>
    </w:p>
    <w:p>
      <w:pPr>
        <w:pStyle w:val="Normal"/>
        <w:ind w:start="1440" w:end="0"/>
        <w:jc w:val="both"/>
        <w:rPr>
          <w:sz w:val="20"/>
          <w:u w:val="single"/>
        </w:rPr>
      </w:pPr>
      <w:r>
        <w:rPr>
          <w:sz w:val="20"/>
          <w:u w:val="single"/>
        </w:rPr>
      </w:r>
    </w:p>
    <w:p>
      <w:pPr>
        <w:pStyle w:val="Normal"/>
        <w:ind w:start="1440" w:end="0"/>
        <w:jc w:val="both"/>
        <w:rPr/>
      </w:pPr>
      <w:r>
        <w:rPr>
          <w:sz w:val="20"/>
        </w:rPr>
        <w:t>"</w:t>
      </w:r>
      <w:r>
        <w:rPr>
          <w:sz w:val="20"/>
          <w:u w:val="single"/>
        </w:rPr>
        <w:t>Material Adverse Change</w:t>
      </w:r>
      <w:r>
        <w:rPr>
          <w:sz w:val="20"/>
        </w:rPr>
        <w:t>" means (i) with respect to Party A, it shall have (a) its unsecured, senior, long-term obligations (not supported by third party credit enhancement) rated by S&amp;P below “_________” or by Moody’s below “________”; (b) an “issuer rating” that is rated by S&amp;P below “_________”; or (c) no rating by either Moody’s or S&amp;P; or (ii) with respect to Party B, it shall have (a) its unsecured, senior, long-term obligations (not supported by third party credit enhancement) rated by S&amp;P below “_________”; (b) an “issuer rating” that is rated by S&amp;P below “_________”or by Moody’s below “________”; or (c) no rating by either Moody’s or S&amp;P.</w:t>
      </w:r>
    </w:p>
    <w:p>
      <w:pPr>
        <w:pStyle w:val="Normal"/>
        <w:ind w:start="1440" w:end="0"/>
        <w:jc w:val="both"/>
        <w:rPr>
          <w:sz w:val="20"/>
        </w:rPr>
      </w:pPr>
      <w:r>
        <w:rPr>
          <w:sz w:val="20"/>
        </w:rPr>
      </w:r>
    </w:p>
    <w:p>
      <w:pPr>
        <w:pStyle w:val="Normal"/>
        <w:ind w:start="1440" w:end="0"/>
        <w:jc w:val="both"/>
        <w:rPr/>
      </w:pPr>
      <w:r>
        <w:rPr>
          <w:sz w:val="20"/>
        </w:rPr>
        <w:t>“</w:t>
      </w:r>
      <w:r>
        <w:rPr>
          <w:sz w:val="20"/>
          <w:u w:val="single"/>
        </w:rPr>
        <w:t>Moody’s</w:t>
      </w:r>
      <w:r>
        <w:rPr>
          <w:sz w:val="20"/>
        </w:rPr>
        <w:t>” means Moody’s Investor Services, Inc. or its successor.</w:t>
      </w:r>
    </w:p>
    <w:p>
      <w:pPr>
        <w:pStyle w:val="Normal"/>
        <w:ind w:start="1440" w:end="0"/>
        <w:jc w:val="both"/>
        <w:rPr>
          <w:sz w:val="20"/>
        </w:rPr>
      </w:pPr>
      <w:r>
        <w:rPr>
          <w:sz w:val="20"/>
        </w:rPr>
      </w:r>
    </w:p>
    <w:p>
      <w:pPr>
        <w:pStyle w:val="Normal"/>
        <w:ind w:start="1440" w:end="0"/>
        <w:jc w:val="both"/>
        <w:rPr/>
      </w:pPr>
      <w:r>
        <w:rPr>
          <w:sz w:val="20"/>
        </w:rPr>
        <w:t>"</w:t>
      </w:r>
      <w:r>
        <w:rPr>
          <w:sz w:val="20"/>
          <w:u w:val="single"/>
        </w:rPr>
        <w:t>Performance Assurance</w:t>
      </w:r>
      <w:r>
        <w:rPr>
          <w:sz w:val="20"/>
        </w:rPr>
        <w:t xml:space="preserve">" means collateral in the form of cash or Letters of Credit, an amount and form acceptable to the Secured Party. </w:t>
      </w:r>
    </w:p>
    <w:p>
      <w:pPr>
        <w:pStyle w:val="Normal"/>
        <w:ind w:start="1440" w:end="0"/>
        <w:jc w:val="both"/>
        <w:rPr>
          <w:sz w:val="20"/>
        </w:rPr>
      </w:pPr>
      <w:r>
        <w:rPr>
          <w:sz w:val="20"/>
        </w:rPr>
      </w:r>
    </w:p>
    <w:p>
      <w:pPr>
        <w:pStyle w:val="Normal"/>
        <w:ind w:hanging="1440" w:start="1440" w:end="0"/>
        <w:rPr/>
      </w:pPr>
      <w:r>
        <w:rPr>
          <w:sz w:val="20"/>
        </w:rPr>
        <w:tab/>
        <w:t>“</w:t>
      </w:r>
      <w:r>
        <w:rPr>
          <w:sz w:val="20"/>
          <w:u w:val="single"/>
        </w:rPr>
        <w:t>S&amp;P</w:t>
      </w:r>
      <w:r>
        <w:rPr>
          <w:sz w:val="20"/>
        </w:rPr>
        <w:t>” means the Standard &amp; Poor’s Rating Group (a division of McGraw-Hill, Inc.) or its successor.</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5040" w:leader="none"/>
          <w:tab w:val="left" w:pos="5760" w:leader="none"/>
          <w:tab w:val="left" w:pos="6480" w:leader="none"/>
        </w:tabs>
        <w:jc w:val="both"/>
        <w:rPr>
          <w:sz w:val="20"/>
        </w:rPr>
      </w:pPr>
      <w:r>
        <w:rPr>
          <w:sz w:val="20"/>
        </w:rPr>
        <w:t>4.</w:t>
        <w:tab/>
        <w:t>Subsection  22.1(d)  of the WSPP Agreement is deleted and replaced by the following:</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ind w:start="1440" w:end="0"/>
        <w:jc w:val="both"/>
        <w:rPr/>
      </w:pPr>
      <w:r>
        <w:rPr>
          <w:sz w:val="20"/>
        </w:rPr>
        <w:t>“</w:t>
      </w:r>
      <w:r>
        <w:rPr>
          <w:sz w:val="20"/>
        </w:rPr>
        <w:t>(d)  the occurrence of a Material Adverse Change at any time with respect to a Party; provided that such Material Adverse Change shall not be considered an Event of Default if within three (3) Business Days after the occurrence of such Material Adverse Change, the Party suffering the Material Adverse Change establishes and maintains for so long as the Material Adverse Change is continuing, Performance Assurance to the Non-Defaulting Party, in</w:t>
      </w:r>
      <w:r>
        <w:rPr>
          <w:b/>
          <w:sz w:val="20"/>
        </w:rPr>
        <w:t xml:space="preserve"> </w:t>
      </w:r>
      <w:r>
        <w:rPr>
          <w:sz w:val="20"/>
        </w:rPr>
        <w:t xml:space="preserve">an amount equal to the </w:t>
      </w:r>
      <w:r>
        <w:rPr>
          <w:sz w:val="20"/>
          <w:u w:val="single"/>
        </w:rPr>
        <w:t>sum</w:t>
      </w:r>
      <w:r>
        <w:rPr>
          <w:sz w:val="20"/>
        </w:rPr>
        <w:t xml:space="preserve"> of (in each case rounding upwards for </w:t>
      </w:r>
      <w:r>
        <w:rPr>
          <w:sz w:val="20"/>
          <w:u w:val="single"/>
        </w:rPr>
        <w:t>any</w:t>
      </w:r>
      <w:r>
        <w:rPr>
          <w:sz w:val="20"/>
        </w:rPr>
        <w:t xml:space="preserve"> fractional amount to the next $250,000): (a) the Termination Payment that would be owed to the Non-Defaulting Party pursuant to Section 22.2 </w:t>
      </w:r>
      <w:r>
        <w:rPr>
          <w:sz w:val="20"/>
          <w:u w:val="single"/>
        </w:rPr>
        <w:t>plus</w:t>
      </w:r>
      <w:r>
        <w:rPr>
          <w:sz w:val="20"/>
        </w:rPr>
        <w:t xml:space="preserve"> (b) if the Non-Defaulting Party is the Seller under any outstanding Confirmation Agreements, the aggregate of the amounts Seller is entitled to receive under such transactions (the amount of the Performance Assurance to be adjusted no more frequently than weekly to reflect any adjustment in amounts owing at that point in time); or</w:t>
      </w:r>
    </w:p>
    <w:p>
      <w:pPr>
        <w:pStyle w:val="Normal"/>
        <w:ind w:start="1440" w:end="0"/>
        <w:jc w:val="both"/>
        <w:rPr>
          <w:sz w:val="20"/>
        </w:rPr>
      </w:pPr>
      <w:r>
        <w:rPr>
          <w:sz w:val="20"/>
        </w:rPr>
      </w:r>
    </w:p>
    <w:p>
      <w:pPr>
        <w:pStyle w:val="Normal"/>
        <w:ind w:start="1440" w:end="0"/>
        <w:jc w:val="both"/>
        <w:rPr>
          <w:sz w:val="20"/>
        </w:rPr>
      </w:pPr>
      <w:r>
        <w:rPr>
          <w:sz w:val="20"/>
        </w:rPr>
        <w:t xml:space="preserve">(e) the Defaulting Party fails to establish, maintain, extend or increase Performance Assurance when required pursuant to this Agreement;” </w:t>
      </w:r>
    </w:p>
    <w:p>
      <w:pPr>
        <w:pStyle w:val="Normal"/>
        <w:jc w:val="both"/>
        <w:rPr>
          <w:sz w:val="20"/>
        </w:rPr>
      </w:pPr>
      <w:r>
        <w:rPr>
          <w:sz w:val="20"/>
        </w:rPr>
      </w:r>
    </w:p>
    <w:p>
      <w:pPr>
        <w:pStyle w:val="Normal"/>
        <w:jc w:val="both"/>
        <w:rPr>
          <w:sz w:val="20"/>
        </w:rPr>
      </w:pPr>
      <w:r>
        <w:rPr>
          <w:sz w:val="20"/>
        </w:rPr>
        <w:t>5.</w:t>
        <w:tab/>
        <w:t>Section 27 of the WSPP Agreement is deleted and replaced with the following:</w:t>
      </w:r>
    </w:p>
    <w:p>
      <w:pPr>
        <w:pStyle w:val="Normal"/>
        <w:jc w:val="both"/>
        <w:rPr>
          <w:sz w:val="20"/>
        </w:rPr>
      </w:pPr>
      <w:r>
        <w:rPr>
          <w:sz w:val="20"/>
        </w:rPr>
      </w:r>
    </w:p>
    <w:p>
      <w:pPr>
        <w:pStyle w:val="Normal"/>
        <w:ind w:start="1440" w:end="0"/>
        <w:jc w:val="both"/>
        <w:rPr/>
      </w:pPr>
      <w:r>
        <w:rPr>
          <w:sz w:val="20"/>
        </w:rPr>
        <w:t>“</w:t>
      </w:r>
      <w:r>
        <w:rPr>
          <w:sz w:val="20"/>
        </w:rPr>
        <w:t xml:space="preserve">27.1. </w:t>
      </w:r>
      <w:r>
        <w:rPr>
          <w:sz w:val="20"/>
          <w:u w:val="single"/>
        </w:rPr>
        <w:t>Financial Statements.</w:t>
      </w:r>
      <w:r>
        <w:rPr>
          <w:sz w:val="20"/>
        </w:rPr>
        <w:t xml:space="preserve"> If requested by Party A, Party B shall deliver (i) within 120 days following the end of each fiscal year, a copy of </w:t>
      </w:r>
      <w:r>
        <w:rPr>
          <w:sz w:val="20"/>
          <w:u w:val="single"/>
        </w:rPr>
        <w:t>[its/its Guarantor’s/ another specified entity’s]</w:t>
      </w:r>
      <w:r>
        <w:rPr>
          <w:sz w:val="20"/>
        </w:rPr>
        <w:t xml:space="preserve"> annual report containing audited consolidated financial statements for such fiscal year and (ii) within 60 days after the end of each of </w:t>
      </w:r>
      <w:r>
        <w:rPr>
          <w:sz w:val="20"/>
          <w:u w:val="single"/>
        </w:rPr>
        <w:t>[its/its Guarantor’s/ another specified entity’s]</w:t>
      </w:r>
      <w:r>
        <w:rPr>
          <w:sz w:val="20"/>
        </w:rPr>
        <w:t xml:space="preserve">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tab/>
      </w:r>
    </w:p>
    <w:p>
      <w:pPr>
        <w:pStyle w:val="Normal"/>
        <w:ind w:start="1440" w:end="0"/>
        <w:jc w:val="both"/>
        <w:rPr>
          <w:sz w:val="20"/>
        </w:rPr>
      </w:pPr>
      <w:r>
        <w:rPr>
          <w:sz w:val="20"/>
        </w:rPr>
      </w:r>
    </w:p>
    <w:p>
      <w:pPr>
        <w:pStyle w:val="Normal"/>
        <w:ind w:start="1440" w:end="0"/>
        <w:jc w:val="both"/>
        <w:rPr/>
      </w:pPr>
      <w:r>
        <w:rPr>
          <w:sz w:val="20"/>
        </w:rPr>
        <w:t xml:space="preserve">27.2. </w:t>
      </w:r>
      <w:r>
        <w:rPr>
          <w:sz w:val="20"/>
          <w:u w:val="single"/>
        </w:rPr>
        <w:t>Financial Statements.</w:t>
      </w:r>
      <w:r>
        <w:rPr>
          <w:sz w:val="20"/>
        </w:rPr>
        <w:t xml:space="preserve"> If requested by Party B, Party A shall deliver (i) within 120 days following the end of each fiscal year, a copy of </w:t>
      </w:r>
      <w:r>
        <w:rPr>
          <w:sz w:val="20"/>
          <w:u w:val="single"/>
        </w:rPr>
        <w:t>[its/its Guarantor’s/ another specified entity’s]</w:t>
      </w:r>
      <w:r>
        <w:rPr>
          <w:sz w:val="20"/>
        </w:rPr>
        <w:t xml:space="preserve"> annual report containing audited consolidated financial statements for such fiscal year and (ii) within 60 days after the end of each of its first three fiscal quarters of each fiscal year, a copy of </w:t>
      </w:r>
      <w:r>
        <w:rPr>
          <w:sz w:val="20"/>
          <w:u w:val="single"/>
        </w:rPr>
        <w:t>[its/its Guarantor’s/ another specified entity’s]</w:t>
      </w:r>
      <w:r>
        <w:rPr>
          <w:sz w:val="20"/>
        </w:rPr>
        <w:t xml:space="preserve">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A diligently pursues the preparation, certification and delivery of the statements.</w:t>
      </w:r>
    </w:p>
    <w:p>
      <w:pPr>
        <w:pStyle w:val="Normal"/>
        <w:ind w:start="1440" w:end="0"/>
        <w:jc w:val="both"/>
        <w:rPr>
          <w:sz w:val="20"/>
        </w:rPr>
      </w:pPr>
      <w:r>
        <w:rPr>
          <w:sz w:val="20"/>
        </w:rPr>
      </w:r>
    </w:p>
    <w:p>
      <w:pPr>
        <w:pStyle w:val="Normal"/>
        <w:numPr>
          <w:ilvl w:val="1"/>
          <w:numId w:val="2"/>
        </w:numPr>
        <w:ind w:hanging="0" w:start="1440" w:end="0"/>
        <w:jc w:val="both"/>
        <w:rPr>
          <w:sz w:val="20"/>
        </w:rPr>
      </w:pPr>
      <w:r>
        <w:rPr>
          <w:sz w:val="20"/>
          <w:u w:val="single"/>
        </w:rPr>
        <w:t>Credit Assurances</w:t>
      </w:r>
      <w:r>
        <w:rPr>
          <w:sz w:val="20"/>
        </w:rPr>
        <w:t>.  If a Party has reasonable grounds to believe that the other Party’s creditworthiness or performance under this Agreement has become unsatisfactory, such Party (the “Requesting Party”) will provide the other Party (the “Affected Party”) with written notice requesting Performance Assurance in an amount determined by the Requesting Party in a commercially reasonable manner.  Upon receipt of such notice the Affected Party shall have three (3) Business Days to remedy the situation by providing such Performance Assurance to the Requesting Party.  In the event that the Affected Party fails to provide such Performance Assurance, or a guaranty or other credit assurance acceptable to the Requesting Party within three (3) Business Days of receipt of notice, then an Event of Default under Section 22.1 will be deemed to have occurred and the Requesting Party will be entitled to the remedies set forth in Section 22.2 of the WSPP Agreement.</w:t>
      </w:r>
    </w:p>
    <w:p>
      <w:pPr>
        <w:pStyle w:val="Normal"/>
        <w:ind w:start="1440" w:end="0"/>
        <w:jc w:val="both"/>
        <w:rPr>
          <w:sz w:val="20"/>
        </w:rPr>
      </w:pPr>
      <w:r>
        <w:rPr>
          <w:sz w:val="20"/>
        </w:rPr>
      </w:r>
    </w:p>
    <w:p>
      <w:pPr>
        <w:pStyle w:val="Normal"/>
        <w:numPr>
          <w:ilvl w:val="1"/>
          <w:numId w:val="2"/>
        </w:numPr>
        <w:ind w:hanging="0" w:start="1440" w:end="0"/>
        <w:jc w:val="both"/>
        <w:rPr>
          <w:sz w:val="20"/>
        </w:rPr>
      </w:pPr>
      <w:r>
        <w:rPr>
          <w:sz w:val="20"/>
          <w:u w:val="single"/>
        </w:rPr>
        <w:t>Collateral.</w:t>
      </w:r>
      <w:r>
        <w:rPr>
          <w:sz w:val="20"/>
        </w:rPr>
        <w:t xml:space="preserve"> If at any time and from time to time during the term of this Agreement (and notwithstanding whether an Event of Default has occurred):</w:t>
      </w:r>
    </w:p>
    <w:p>
      <w:pPr>
        <w:pStyle w:val="Normal"/>
        <w:ind w:start="1440" w:end="0"/>
        <w:jc w:val="both"/>
        <w:rPr>
          <w:sz w:val="20"/>
          <w:u w:val="single"/>
        </w:rPr>
      </w:pPr>
      <w:r>
        <w:rPr>
          <w:sz w:val="20"/>
          <w:u w:val="single"/>
        </w:rPr>
      </w:r>
    </w:p>
    <w:p>
      <w:pPr>
        <w:pStyle w:val="BodyTextIndent3"/>
        <w:numPr>
          <w:ilvl w:val="0"/>
          <w:numId w:val="5"/>
        </w:numPr>
        <w:jc w:val="both"/>
        <w:rPr>
          <w:sz w:val="20"/>
        </w:rPr>
      </w:pPr>
      <w:r>
        <w:rPr>
          <w:sz w:val="20"/>
        </w:rPr>
        <w:t>with respect to Party A, if the Termination Payment that would be owed to Party B in respect of all transactions then outstanding exceeds ___________ Million U.S. Dollars ($_____________) (the “Collateral Number”); or</w:t>
      </w:r>
    </w:p>
    <w:p>
      <w:pPr>
        <w:pStyle w:val="BodyTextIndent3"/>
        <w:ind w:hanging="0" w:start="1440" w:end="0"/>
        <w:jc w:val="both"/>
        <w:rPr>
          <w:sz w:val="20"/>
        </w:rPr>
      </w:pPr>
      <w:r>
        <w:rPr>
          <w:sz w:val="20"/>
        </w:rPr>
      </w:r>
    </w:p>
    <w:p>
      <w:pPr>
        <w:pStyle w:val="BodyTextIndent3"/>
        <w:numPr>
          <w:ilvl w:val="0"/>
          <w:numId w:val="5"/>
        </w:numPr>
        <w:jc w:val="both"/>
        <w:rPr>
          <w:sz w:val="20"/>
        </w:rPr>
      </w:pPr>
      <w:r>
        <w:rPr>
          <w:sz w:val="20"/>
        </w:rPr>
        <w:t>with respect to Party B, if the Termination Payment that would be owed to Party A in respect of all transactions then outstanding exceeds _________ Million U.S. Dollars ($_________) (the “Collateral Number”);</w:t>
      </w:r>
    </w:p>
    <w:p>
      <w:pPr>
        <w:pStyle w:val="Heading2"/>
        <w:ind w:end="-36"/>
        <w:rPr>
          <w:sz w:val="20"/>
        </w:rPr>
      </w:pPr>
      <w:r>
        <w:rPr>
          <w:sz w:val="20"/>
        </w:rPr>
      </w:r>
    </w:p>
    <w:p>
      <w:pPr>
        <w:pStyle w:val="Heading2"/>
        <w:ind w:start="2160" w:end="-36"/>
        <w:rPr/>
      </w:pPr>
      <w:r>
        <w:rPr>
          <w:sz w:val="20"/>
        </w:rPr>
        <w:t xml:space="preserve">then, Party A or Party B, as the case may be (the “Beneficiary Party”) as the Beneficiary Party on any Business Day, may request the other Party (the “Posting Party”) to provide Performance Assurance (in such form as selected by the Posting Party), in an amount equal to the amount by which the Termination Payment exceeds the relevant Collateral Number (rounding upwards for </w:t>
      </w:r>
      <w:r>
        <w:rPr>
          <w:sz w:val="20"/>
          <w:u w:val="single"/>
        </w:rPr>
        <w:t>any</w:t>
      </w:r>
      <w:r>
        <w:rPr>
          <w:sz w:val="20"/>
        </w:rPr>
        <w:t xml:space="preserve"> fractional amount to the next $250,000), or such other collateral as may be reasonably acceptable to the Beneficiary Party.  The Performance Assurance shall be delivered within two (2) Business Days of the date of such request.  No more frequently than weekly, the Posting Party, at its sole cost, may request that the posted Performance Assurance be reduced to the amount by which the Termination Payment then exceeds the relevant Collateral Number (rounding upwards for </w:t>
      </w:r>
      <w:r>
        <w:rPr>
          <w:sz w:val="20"/>
          <w:u w:val="single"/>
        </w:rPr>
        <w:t>any</w:t>
      </w:r>
      <w:r>
        <w:rPr>
          <w:sz w:val="20"/>
        </w:rPr>
        <w:t xml:space="preserve"> fractional amount to the next $250,000).  For purposes of this Section 27.3, the calculation of “Termination Payment” shall include all amounts owed but not yet paid by one Party to the other Party whether or not such amounts are then due, for performance already provided pursuant to any and all Confirmation Agreements.</w:t>
      </w:r>
    </w:p>
    <w:p>
      <w:pPr>
        <w:pStyle w:val="Normal"/>
        <w:numPr>
          <w:ilvl w:val="1"/>
          <w:numId w:val="3"/>
        </w:numPr>
        <w:jc w:val="both"/>
        <w:rPr>
          <w:sz w:val="20"/>
        </w:rPr>
      </w:pPr>
      <w:r>
        <w:rPr>
          <w:sz w:val="20"/>
        </w:rPr>
        <w:t>Guarantees.</w:t>
      </w:r>
    </w:p>
    <w:p>
      <w:pPr>
        <w:pStyle w:val="Normal"/>
        <w:jc w:val="both"/>
        <w:rPr>
          <w:sz w:val="20"/>
        </w:rPr>
      </w:pPr>
      <w:r>
        <w:rPr>
          <w:sz w:val="20"/>
        </w:rPr>
        <w:t xml:space="preserve"> </w:t>
      </w:r>
    </w:p>
    <w:p>
      <w:pPr>
        <w:pStyle w:val="Normal"/>
        <w:numPr>
          <w:ilvl w:val="0"/>
          <w:numId w:val="4"/>
        </w:numPr>
        <w:jc w:val="both"/>
        <w:rPr>
          <w:sz w:val="20"/>
        </w:rPr>
      </w:pPr>
      <w:r>
        <w:rPr>
          <w:sz w:val="20"/>
        </w:rPr>
        <w:t>In order to secure all payment obligations of Party A to Party B hereunder, Party A shall cause [its Guarantor/another specified entity] to execute and deliver to Party B a guarantee agreement in form and substance acceptable to Party B in the amount of _________ Million U.S. Dollars ($_________).</w:t>
      </w:r>
    </w:p>
    <w:p>
      <w:pPr>
        <w:pStyle w:val="Normal"/>
        <w:ind w:start="2160" w:end="0"/>
        <w:jc w:val="both"/>
        <w:rPr>
          <w:sz w:val="20"/>
        </w:rPr>
      </w:pPr>
      <w:r>
        <w:rPr>
          <w:sz w:val="20"/>
        </w:rPr>
      </w:r>
    </w:p>
    <w:p>
      <w:pPr>
        <w:pStyle w:val="Normal"/>
        <w:numPr>
          <w:ilvl w:val="0"/>
          <w:numId w:val="4"/>
        </w:numPr>
        <w:jc w:val="both"/>
        <w:rPr>
          <w:sz w:val="20"/>
        </w:rPr>
      </w:pPr>
      <w:r>
        <w:rPr>
          <w:sz w:val="20"/>
        </w:rPr>
        <w:t>In order to secure all payment obligations of Party B to Party A hereunder, Party B shall cause [its Guarantor/another specified entity] to execute and deliver to Party A a guarantee agreement in form an substance acceptable to Party A and in an amount of ____________ Million U.S. Dollars ($___________).</w:t>
      </w:r>
    </w:p>
    <w:p>
      <w:pPr>
        <w:pStyle w:val="Normal"/>
        <w:jc w:val="both"/>
        <w:rPr>
          <w:sz w:val="20"/>
        </w:rPr>
      </w:pPr>
      <w:r>
        <w:rPr>
          <w:sz w:val="20"/>
        </w:rPr>
      </w:r>
    </w:p>
    <w:p>
      <w:pPr>
        <w:pStyle w:val="Normal"/>
        <w:ind w:start="1440" w:end="0"/>
        <w:jc w:val="both"/>
        <w:rPr/>
      </w:pPr>
      <w:r>
        <w:rPr>
          <w:sz w:val="20"/>
        </w:rPr>
        <w:t xml:space="preserve">27.5 </w:t>
      </w:r>
      <w:r>
        <w:rPr>
          <w:sz w:val="20"/>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r>
        <w:rPr>
          <w:sz w:val="20"/>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er"/>
        <w:tabs>
          <w:tab w:val="clear" w:pos="4320"/>
          <w:tab w:val="clear" w:pos="8640"/>
        </w:tabs>
        <w:rPr>
          <w:sz w:val="20"/>
        </w:rPr>
      </w:pPr>
      <w:r>
        <w:rPr>
          <w:sz w:val="20"/>
        </w:rPr>
      </w:r>
    </w:p>
    <w:p>
      <w:pPr>
        <w:pStyle w:val="Justified"/>
        <w:ind w:hanging="720" w:start="720" w:end="0"/>
        <w:rPr>
          <w:sz w:val="20"/>
        </w:rPr>
      </w:pPr>
      <w:r>
        <w:rPr>
          <w:sz w:val="20"/>
        </w:rPr>
        <w:t>6.</w:t>
        <w:tab/>
        <w:t>The Parties hereby acknowledge and agree that, except as specifically amended hereby, the WSPP Agreement shall remain in full force and effect in accordance with its terms.</w:t>
      </w:r>
    </w:p>
    <w:p>
      <w:pPr>
        <w:pStyle w:val="Justified"/>
        <w:ind w:hanging="720" w:start="720" w:end="0"/>
        <w:rPr>
          <w:sz w:val="20"/>
        </w:rPr>
      </w:pPr>
      <w:r>
        <w:rPr>
          <w:sz w:val="20"/>
        </w:rPr>
        <w:t>7.</w:t>
        <w:tab/>
        <w:t>This Amendment may be executed in counterparts, each of which taken together shall constitute one and the same instrument.</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IN WITNESS WHEREOF, Party A and Party B, by their respective authorized representatives, have executed this Amendment effective as of the date first written above.</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b/>
                <w:sz w:val="20"/>
              </w:rPr>
            </w:pPr>
            <w:r>
              <w:rPr>
                <w:b/>
                <w:sz w:val="20"/>
              </w:rPr>
              <w:t>_________________________________</w:t>
            </w:r>
          </w:p>
        </w:tc>
        <w:tc>
          <w:tcPr>
            <w:tcW w:w="4518" w:type="dxa"/>
            <w:tcBorders/>
          </w:tcPr>
          <w:p>
            <w:pPr>
              <w:pStyle w:val="Normal"/>
              <w:keepNext w:val="true"/>
              <w:keepLines/>
              <w:rPr>
                <w:sz w:val="20"/>
              </w:rPr>
            </w:pPr>
            <w:r>
              <w:rPr>
                <w:sz w:val="20"/>
              </w:rPr>
              <w:t>_________________________________________</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Name:</w:t>
        <w:tab/>
        <w:t>__________________________</w:t>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Title:      __________________________</w:t>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sectPr>
      <w:headerReference w:type="default" r:id="rId2"/>
      <w:footerReference w:type="default" r:id="rId3"/>
      <w:type w:val="nextPage"/>
      <w:pgSz w:w="12240" w:h="15840"/>
      <w:pgMar w:left="1267" w:right="128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Times New Roman Bold">
    <w:charset w:val="00" w:characterSet="windows-1252"/>
    <w:family w:val="roman"/>
    <w:pitch w:val="default"/>
  </w:font>
  <w:font w:name="Courier New">
    <w:charset w:val="00" w:characterSet="windows-1252"/>
    <w:family w:val="moder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rPr>
        <w:rStyle w:val="PageNumber"/>
        <w:sz w:val="20"/>
      </w:rPr>
    </w:pPr>
    <w:r>
      <w:rPr/>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/mnt/main-storage/datasets/enron-docs/doc/WSPP_Collateral_Amendment__9.26.01_.doc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27"/>
      <w:numFmt w:val="decimal"/>
      <w:lvlText w:val="%1."/>
      <w:lvlJc w:val="start"/>
      <w:pPr>
        <w:tabs>
          <w:tab w:val="num" w:pos="600"/>
        </w:tabs>
        <w:ind w:start="600" w:hanging="600"/>
      </w:pPr>
      <w:rPr/>
    </w:lvl>
    <w:lvl w:ilvl="1">
      <w:start w:val="3"/>
      <w:numFmt w:val="decimal"/>
      <w:lvlText w:val="%1.%2."/>
      <w:lvlJc w:val="start"/>
      <w:pPr>
        <w:tabs>
          <w:tab w:val="num" w:pos="2040"/>
        </w:tabs>
        <w:ind w:start="2040" w:hanging="60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3">
    <w:lvl w:ilvl="0">
      <w:start w:val="27"/>
      <w:numFmt w:val="decimal"/>
      <w:lvlText w:val="%1"/>
      <w:lvlJc w:val="start"/>
      <w:pPr>
        <w:tabs>
          <w:tab w:val="num" w:pos="720"/>
        </w:tabs>
        <w:ind w:start="720" w:hanging="720"/>
      </w:pPr>
      <w:rPr/>
    </w:lvl>
    <w:lvl w:ilvl="1">
      <w:start w:val="4"/>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abstractNum w:abstractNumId="4">
    <w:lvl w:ilvl="0">
      <w:start w:val="1"/>
      <w:numFmt w:val="lowerLetter"/>
      <w:lvlText w:val="(%1)"/>
      <w:lvlJc w:val="start"/>
      <w:pPr>
        <w:tabs>
          <w:tab w:val="num" w:pos="2880"/>
        </w:tabs>
        <w:ind w:start="2880" w:hanging="720"/>
      </w:pPr>
      <w:rPr/>
    </w:lvl>
  </w:abstractNum>
  <w:abstractNum w:abstractNumId="5">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tabs>
        <w:tab w:val="clear" w:pos="720"/>
        <w:tab w:val="left" w:pos="360" w:leader="none"/>
        <w:tab w:val="left" w:pos="5040" w:leader="none"/>
        <w:tab w:val="left" w:pos="5760" w:leader="none"/>
        <w:tab w:val="left" w:pos="6480" w:leader="none"/>
      </w:tabs>
      <w:jc w:val="both"/>
      <w:outlineLvl w:val="0"/>
    </w:pPr>
    <w:rPr>
      <w:b/>
      <w:bCs/>
      <w:sz w:val="20"/>
      <w:u w:val="single"/>
    </w:rPr>
  </w:style>
  <w:style w:type="paragraph" w:styleId="Heading2">
    <w:name w:val="heading 2"/>
    <w:basedOn w:val="Normal"/>
    <w:next w:val="BodyText"/>
    <w:qFormat/>
    <w:pPr>
      <w:spacing w:before="0" w:after="120"/>
      <w:jc w:val="both"/>
      <w:outlineLvl w:val="1"/>
    </w:pPr>
    <w:rPr>
      <w:sz w:val="22"/>
    </w:rPr>
  </w:style>
  <w:style w:type="paragraph" w:styleId="Heading3">
    <w:name w:val="heading 3"/>
    <w:basedOn w:val="Normal"/>
    <w:next w:val="NormalIndent"/>
    <w:qFormat/>
    <w:pPr>
      <w:ind w:hanging="0" w:start="360" w:end="0"/>
      <w:outlineLvl w:val="2"/>
    </w:pPr>
    <w:rPr>
      <w:rFonts w:ascii="Times" w:hAnsi="Times" w:cs="Times"/>
      <w:b/>
    </w:rPr>
  </w:style>
  <w:style w:type="paragraph" w:styleId="Heading4">
    <w:name w:val="heading 4"/>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center"/>
      <w:outlineLvl w:val="3"/>
    </w:pPr>
    <w:rPr>
      <w:b/>
      <w:bCs/>
      <w:sz w:val="20"/>
    </w:rPr>
  </w:style>
  <w:style w:type="paragraph" w:styleId="Heading5">
    <w:name w:val="heading 5"/>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jc w:val="center"/>
      <w:outlineLvl w:val="5"/>
    </w:pPr>
    <w:rPr>
      <w:rFonts w:ascii="MS Sans Serif" w:hAnsi="MS Sans Serif" w:cs="MS Sans Serif"/>
      <w:b/>
      <w:bCs/>
      <w:sz w:val="20"/>
      <w:szCs w:val="20"/>
      <w:u w:val="single"/>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tabs>
        <w:tab w:val="clear" w:pos="720"/>
        <w:tab w:val="left" w:pos="360" w:leader="none"/>
        <w:tab w:val="left" w:pos="5040" w:leader="none"/>
        <w:tab w:val="left" w:pos="5760" w:leader="none"/>
        <w:tab w:val="left" w:pos="6480" w:leader="none"/>
      </w:tabs>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Bold" w:hAnsi="Times New Roman Bold" w:cs="BauerBodoni-Bold"/>
      <w:b/>
      <w:i w:val="false"/>
      <w:sz w:val="24"/>
    </w:rPr>
  </w:style>
  <w:style w:type="character" w:styleId="WW8Num12z1">
    <w:name w:val="WW8Num12z1"/>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i w:val="false"/>
      <w:caps/>
      <w:sz w:val="24"/>
    </w:rPr>
  </w:style>
  <w:style w:type="character" w:styleId="WW8Num30z1">
    <w:name w:val="WW8Num30z1"/>
    <w:qFormat/>
    <w:rPr>
      <w:rFonts w:ascii="Times New Roman" w:hAnsi="Times New Roman" w:cs="Times New Roman"/>
      <w:b w:val="false"/>
      <w:i w:val="false"/>
      <w:sz w:val="24"/>
      <w:u w:val="none"/>
    </w:rPr>
  </w:style>
  <w:style w:type="character" w:styleId="WW8Num30z2">
    <w:name w:val="WW8Num30z2"/>
    <w:qFormat/>
    <w:rPr>
      <w:rFonts w:ascii="Times New Roman" w:hAnsi="Times New Roman" w:cs="Times New Roman"/>
      <w:b w:val="false"/>
      <w:i w:val="false"/>
      <w:sz w:val="24"/>
    </w:rPr>
  </w:style>
  <w:style w:type="character" w:styleId="WW8Num30z5">
    <w:name w:val="WW8Num30z5"/>
    <w:qFormat/>
    <w:rPr>
      <w:rFonts w:ascii="Times New Roman" w:hAnsi="Times New Roman" w:cs="Times New Roman"/>
      <w:b/>
      <w:i w:val="false"/>
      <w:sz w:val="24"/>
      <w:u w:val="none"/>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2"/>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Courier New" w:hAnsi="Courier New" w:cs="Courier New"/>
      <w:b/>
    </w:rPr>
  </w:style>
  <w:style w:type="paragraph" w:styleId="BodyTextIndent">
    <w:name w:val="Body Text Indent"/>
    <w:basedOn w:val="Normal"/>
    <w:pPr>
      <w:ind w:hanging="0" w:start="720" w:end="0"/>
      <w:jc w:val="both"/>
    </w:pPr>
    <w:rPr>
      <w:sz w:val="24"/>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sz w:val="24"/>
    </w:rPr>
  </w:style>
  <w:style w:type="paragraph" w:styleId="Subtitle">
    <w:name w:val="Subtitle"/>
    <w:basedOn w:val="Normal"/>
    <w:next w:val="BodyText"/>
    <w:qFormat/>
    <w:pPr>
      <w:suppressAutoHyphens w:val="true"/>
      <w:jc w:val="center"/>
    </w:pPr>
    <w:rPr>
      <w:b/>
      <w:bCs/>
      <w:spacing w:val="-2"/>
      <w:sz w:val="20"/>
    </w:rPr>
  </w:style>
  <w:style w:type="paragraph" w:styleId="coverbody">
    <w:name w:val="coverbody"/>
    <w:basedOn w:val="Normal"/>
    <w:qFormat/>
    <w:pPr>
      <w:spacing w:before="0" w:after="200"/>
      <w:jc w:val="both"/>
    </w:pPr>
    <w:rPr>
      <w:sz w:val="20"/>
    </w:rPr>
  </w:style>
  <w:style w:type="paragraph" w:styleId="BodyTextFirstIndent">
    <w:name w:val="Body Text First Indent"/>
    <w:basedOn w:val="Normal"/>
    <w:qFormat/>
    <w:pPr>
      <w:spacing w:before="0" w:after="240"/>
      <w:ind w:firstLine="720" w:start="0" w:end="0"/>
      <w:jc w:val="both"/>
    </w:pPr>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ind w:hanging="720" w:start="2160" w:end="0"/>
    </w:pPr>
    <w:rPr/>
  </w:style>
  <w:style w:type="paragraph" w:styleId="HParHeading2">
    <w:name w:val="_HParHeading 2"/>
    <w:basedOn w:val="Heading2"/>
    <w:next w:val="Normal"/>
    <w:qFormat/>
    <w:pPr>
      <w:tabs>
        <w:tab w:val="clear" w:pos="720"/>
        <w:tab w:val="left" w:pos="360" w:leader="none"/>
        <w:tab w:val="left" w:pos="1440" w:leader="none"/>
      </w:tabs>
      <w:spacing w:before="0" w:after="240"/>
      <w:ind w:firstLine="720" w:start="0" w:end="0"/>
    </w:pPr>
    <w:rPr>
      <w:sz w:val="24"/>
    </w:rPr>
  </w:style>
  <w:style w:type="paragraph" w:styleId="TOC6">
    <w:name w:val="toc 6"/>
    <w:basedOn w:val="Normal"/>
    <w:pPr>
      <w:tabs>
        <w:tab w:val="clear" w:pos="720"/>
        <w:tab w:val="left" w:pos="8280" w:leader="dot"/>
        <w:tab w:val="right" w:pos="8640" w:leader="none"/>
      </w:tabs>
      <w:spacing w:lineRule="atLeast" w:line="240" w:before="0" w:after="240"/>
      <w:ind w:hanging="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2001-09-26T19:01:00Z</dcterms:created>
  <dc:creator>EOL#</dc:creator>
  <dc:description/>
  <dc:language>en-CA</dc:language>
  <cp:lastModifiedBy>204479</cp:lastModifiedBy>
  <cp:lastPrinted>2001-10-08T15:12:00Z</cp:lastPrinted>
  <dcterms:modified xsi:type="dcterms:W3CDTF">2001-10-08T17:55:00Z</dcterms:modified>
  <cp:revision>10</cp:revision>
  <dc:subject/>
  <dc:title> </dc:title>
</cp:coreProperties>
</file>