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WSPP CONTRACTING COMMITTEE (8-10-01) MEETING SUMMARY</w:t>
      </w:r>
    </w:p>
    <w:p>
      <w:pPr>
        <w:pStyle w:val="Normal"/>
        <w:jc w:val="start"/>
        <w:rPr>
          <w:b/>
        </w:rPr>
      </w:pPr>
      <w:r>
        <w:rPr>
          <w:b/>
        </w:rPr>
      </w:r>
    </w:p>
    <w:p>
      <w:pPr>
        <w:pStyle w:val="BodyText"/>
        <w:numPr>
          <w:ilvl w:val="0"/>
          <w:numId w:val="2"/>
        </w:numPr>
        <w:rPr/>
      </w:pPr>
      <w:r>
        <w:rPr/>
        <w:t>CAISO definition-Consensus was reached on the following to be posted on the WSPP Homepage.  The CAISO basic language, currently posted on the WSPP Homepage, was agreed to with the following addition.  At the end, add: A CAISO “Schedule Adjustment” (defined as a schedule change implemented by the CAISO that is neither caused by, or within the control of, either Party) shall not constitute an Uncontrollable Force under the Tariff.  Note: We also agreed that implementation of this language requires reach through language (discussed next) in order to make clear that the only force majeure provision that is applicable is the CAISO provision.  This language will go to the Operating Committee for its October meeting.</w:t>
      </w:r>
    </w:p>
    <w:p>
      <w:pPr>
        <w:pStyle w:val="Normal"/>
        <w:numPr>
          <w:ilvl w:val="0"/>
          <w:numId w:val="2"/>
        </w:numPr>
        <w:jc w:val="start"/>
        <w:rPr/>
      </w:pPr>
      <w:r>
        <w:rPr/>
        <w:t>Reach Through language-The following language, subject to final circulation, was agreed to by the Committee to make it easier for Members to use the WSPP Agreement to trade products under other agreements.  Under the current WSPP Agreement, members already have that flexibility.  This change is intended to limit the need to negotiate language in a confirmation.  We also will add a line item to the form of confirmation to facilitate the exercise of this provision.   “Other Products and Service Levels:  The Parties may agree to use a product/service level, defined by a different agreement (e.g. the CAISO Tariff, the ERCOT agreement, or the EEI agreement) for a particular transaction.  Unless the parties expressly state and agree that all the terms and conditions of such other agreement will apply to any such transaction, the transaction shall be subject to all the terms of this Agreement, except that (1) all service level/product definitions, (2) force majeure/uncontrollable force definitions, and (3) other terms as mutually agreed in a Confirmation Agreement shall have the meanings ascribed to them in the different agreement or in the applicable confirmation notice or agreement.  This language will go to the Operating Committee for its October meeting.</w:t>
      </w:r>
    </w:p>
    <w:p>
      <w:pPr>
        <w:pStyle w:val="Normal"/>
        <w:numPr>
          <w:ilvl w:val="0"/>
          <w:numId w:val="2"/>
        </w:numPr>
        <w:jc w:val="start"/>
        <w:rPr/>
      </w:pPr>
      <w:r>
        <w:rPr/>
        <w:t>Set-off/netting clarifications-Last paragraph of 22.2-Allow the Non-Defaulting Party to withhold payments in the event of a default under any electric power agreements it has with the defaulting party.  The Non-Defaulting party should not be required to set-off the amounts and instead should only have the right to do so.  Section 22.3 (d)-Agreed to provide the right of set-off to all agreements between the parties involving electric power.  Will define electric power.  Discussed whether this will cover retail.  Agreed to leave in the broader language for now as there are no retail issues today.  Will look at this again if retail becomes an issue.  Also discussed bringing in additional commodities.  There was no consensus reached on that concept but it will be raised at the Operating Committee meeting.  Section 28-Agreed to limit to Payment Netting and to strike the references to Set-Off, delete the last sentence of 28.1, and not to add a new 28.4 on conflicts of positions.  Also agreed on revising Section 28 to make clear that the initial notice that a party has executed the netting agreement need only be provided to a representative of the WSPP and posted and that notice of withdrawal of netting must be provided to all parties with whom that entity has ongoing transactions in addition to being shown on the Homepage.  We will show termination dates on the Homepage.  This language will be forwarded to the Operating Committee.</w:t>
      </w:r>
    </w:p>
    <w:p>
      <w:pPr>
        <w:pStyle w:val="Normal"/>
        <w:numPr>
          <w:ilvl w:val="0"/>
          <w:numId w:val="2"/>
        </w:numPr>
        <w:jc w:val="start"/>
        <w:rPr/>
      </w:pPr>
      <w:r>
        <w:rPr/>
        <w:t>Uncontrollable Forces-Add the following language to the end of the first paragraph of Section 10:  Due diligence as used in this paragraph requires the Party seeking to excuse performance due to Uncontrollable Forces, among other things, to arrange for alternate energy to be delivered or received at the Delivery Point.  Most were in favor of this clarification.  A few questioned whether the language added much. This will be sent on to the Operating Committee.</w:t>
      </w:r>
    </w:p>
    <w:p>
      <w:pPr>
        <w:pStyle w:val="Normal"/>
        <w:numPr>
          <w:ilvl w:val="0"/>
          <w:numId w:val="2"/>
        </w:numPr>
        <w:jc w:val="start"/>
        <w:rPr/>
      </w:pPr>
      <w:r>
        <w:rPr/>
        <w:t xml:space="preserve">Collateral Agreements and Umbrella Netting Agreements-We will set up a separate meeting to address these agreements.  Our goal is to develop forms that can be posted on the homepage for parties to use if they want or not.  Members are to send in their proposals within two weeks.  These proposals will then be sent around to all contracting committee members.  Presentations will be made by proponents at this meeting.  Proponents should address the differences between their proposals and others and explain why their proposal is better.  </w:t>
      </w:r>
    </w:p>
    <w:p>
      <w:pPr>
        <w:pStyle w:val="Normal"/>
        <w:numPr>
          <w:ilvl w:val="0"/>
          <w:numId w:val="2"/>
        </w:numPr>
        <w:jc w:val="start"/>
        <w:rPr/>
      </w:pPr>
      <w:r>
        <w:rPr/>
        <w:t>Confirmation process-A supermajority supported a new Section 32.5 stating the following:  “When a Confirmation Agreement contains “non-standard confirmation provisions” which are provisions other than those set forth in paragraphs (a)-(l) of Exhibit C, those non-standard confirmation provisions shall not be deemed to be accepted pursuant to Section 32.1 unless agreed to : (I) orally, with that oral agreement recorded; or (ii) in a writing executed by both Parties.”  Consensus was reached on adding a provision recognizing that electronic confirmation, whether by email or through an electronic system such as Enron Online, is an appropriate way of confirming and would take the place of written confirmations so long as the parties agree on the procedures for doing so.  Language will be circulated for comment before it is sent on to the Operating Committee.</w:t>
      </w:r>
    </w:p>
    <w:p>
      <w:pPr>
        <w:pStyle w:val="Normal"/>
        <w:numPr>
          <w:ilvl w:val="0"/>
          <w:numId w:val="2"/>
        </w:numPr>
        <w:jc w:val="start"/>
        <w:rPr/>
      </w:pPr>
      <w:r>
        <w:rPr/>
        <w:t>Reorganization of the WSPP Agreement-A near consensus (one against) voted in favor of the reorganization of the WSPP Agreement.  This reorganization is to separate out the contract terms from the WSPP operation terms.  This will be sent on to the Operating Committee.</w:t>
      </w:r>
    </w:p>
    <w:p>
      <w:pPr>
        <w:pStyle w:val="Normal"/>
        <w:numPr>
          <w:ilvl w:val="0"/>
          <w:numId w:val="2"/>
        </w:numPr>
        <w:jc w:val="start"/>
        <w:rPr/>
      </w:pPr>
      <w:r>
        <w:rPr/>
        <w:t>Floating price language-Issues were raised about using data from the index for the first trading day after the index is back in operation; there may be a mismatch.  As a result, parties proposed negotiating and if negotiations fail using dealer quotes.  Also discussed how dealer quotes should be reflected and the standards for dealers.  Members are to send in their changes with a conference call to be scheduled in about a month to reach final consensus on this change before the Operating Committee meeting.</w:t>
      </w:r>
    </w:p>
    <w:p>
      <w:pPr>
        <w:pStyle w:val="Normal"/>
        <w:numPr>
          <w:ilvl w:val="0"/>
          <w:numId w:val="2"/>
        </w:numPr>
        <w:jc w:val="start"/>
        <w:rPr/>
      </w:pPr>
      <w:r>
        <w:rPr/>
        <w:t>Indemnification-Issue discussed.  This does not involve general indemnification but involves indemnification if parties in the chain don’t pay.  Suggestion was made to limit to LD maximum.  Members will look at this further; in particular, we will look at the NW indemnification concerns to see if this type of indemnification presents problems.</w:t>
      </w:r>
    </w:p>
    <w:p>
      <w:pPr>
        <w:pStyle w:val="Normal"/>
        <w:numPr>
          <w:ilvl w:val="0"/>
          <w:numId w:val="2"/>
        </w:numPr>
        <w:jc w:val="start"/>
        <w:rPr/>
      </w:pPr>
      <w:r>
        <w:rPr/>
        <w:t>Suspension in the event of non-performance-Discussed language allowing suspension in the event of non-performance.  Does not involve default.  Concerns were raised that a Party’s failure to receive or deliver a relatively small amount of power may result in a suspension involving a much broader amount of power.  On the other hand, concerns were raised about relying on damages for non-performance which may not be paid for up to fifty days.  Discussed the fact that under the WSPP Agreement, credit assurances may be obtained if there is an issue regarding creditworthiness.  Also discussed that collateral and credit agreements may resolve this issue.  Will attempt to discuss this further.</w:t>
      </w:r>
    </w:p>
    <w:sectPr>
      <w:type w:val="nextPage"/>
      <w:pgSz w:w="12240" w:h="15840"/>
      <w:pgMar w:left="2160" w:right="1440" w:gutter="0" w:header="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jc w:val="center"/>
    </w:pPr>
    <w:rPr>
      <w:b/>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2001-08-16T16:05:00Z</dcterms:created>
  <dc:creator>Michael E. Small</dc:creator>
  <dc:description/>
  <dc:language>en-CA</dc:language>
  <cp:lastModifiedBy>Michael E. Small</cp:lastModifiedBy>
  <dcterms:modified xsi:type="dcterms:W3CDTF">2001-08-16T16:05:00Z</dcterms:modified>
  <cp:revision>2</cp:revision>
  <dc:subject/>
  <dc:title>WSPP CONTRACTING COMMITTEE (8-10-01) MEETING SUMMARY</dc:title>
</cp:coreProperties>
</file>