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WSPP MEETINGS</w:t>
      </w:r>
    </w:p>
    <w:p>
      <w:pPr>
        <w:pStyle w:val="Normal"/>
        <w:jc w:val="center"/>
        <w:rPr/>
      </w:pPr>
      <w:r>
        <w:rPr>
          <w:b/>
        </w:rPr>
        <w:t>HELD ON NOVEMBER 1</w:t>
      </w:r>
      <w:r>
        <w:rPr>
          <w:b/>
          <w:vertAlign w:val="superscript"/>
        </w:rPr>
        <w:t>st</w:t>
      </w:r>
      <w:r>
        <w:rPr>
          <w:b/>
        </w:rPr>
        <w:t xml:space="preserve"> &amp; 2</w:t>
      </w:r>
      <w:r>
        <w:rPr>
          <w:b/>
          <w:vertAlign w:val="superscript"/>
        </w:rPr>
        <w:t>nd</w:t>
      </w:r>
      <w:r>
        <w:rPr>
          <w:b/>
        </w:rPr>
        <w:t>, 2001</w:t>
      </w:r>
    </w:p>
    <w:p>
      <w:pPr>
        <w:pStyle w:val="Normal"/>
        <w:rPr>
          <w:b/>
        </w:rPr>
      </w:pPr>
      <w:r>
        <w:rPr>
          <w:b/>
        </w:rPr>
      </w:r>
    </w:p>
    <w:p>
      <w:pPr>
        <w:pStyle w:val="Normal"/>
        <w:rPr/>
      </w:pPr>
      <w:r>
        <w:rPr/>
      </w:r>
    </w:p>
    <w:p>
      <w:pPr>
        <w:pStyle w:val="Normal"/>
        <w:rPr/>
      </w:pPr>
      <w:r>
        <w:rPr/>
      </w:r>
    </w:p>
    <w:p>
      <w:pPr>
        <w:pStyle w:val="Normal"/>
        <w:rPr/>
      </w:pPr>
      <w:r>
        <w:rPr/>
        <w:tab/>
        <w:t>Meeting held to develop forms of margin/collateral agreements.  Intent is to develop forms that members may use.  These forms will not be part of the default WSPP contract; thus, members will not need to take any action to avoid using these documents.  Three margin/collateral documents were reviewed: (1) a collateral agreement which could include both cash and other collateral under which the collateral would stay with the posting party; (2) a short form margin agreement; and (3) a somewhat longer margin agreement presented by Reliant.  We will be pursing finalizing two documents using the collateral agreement and the Reliant agreement as starting points.</w:t>
      </w:r>
    </w:p>
    <w:p>
      <w:pPr>
        <w:pStyle w:val="Normal"/>
        <w:rPr/>
      </w:pPr>
      <w:r>
        <w:rPr/>
      </w:r>
    </w:p>
    <w:p>
      <w:pPr>
        <w:pStyle w:val="Normal"/>
        <w:rPr/>
      </w:pPr>
      <w:r>
        <w:rPr/>
        <w:tab/>
        <w:t>We discussed the types of provisions and issues that arise in the development of these of these documents:</w:t>
      </w:r>
    </w:p>
    <w:p>
      <w:pPr>
        <w:pStyle w:val="Normal"/>
        <w:rPr/>
      </w:pPr>
      <w:r>
        <w:rPr/>
      </w:r>
    </w:p>
    <w:p>
      <w:pPr>
        <w:pStyle w:val="Normal"/>
        <w:ind w:hanging="720" w:start="720" w:end="0"/>
        <w:rPr/>
      </w:pPr>
      <w:r>
        <w:rPr/>
        <w:t>1.</w:t>
        <w:tab/>
        <w:t>Language creating security interest-Add to the Security Agreement language referring to obligations of payment and performance.</w:t>
      </w:r>
    </w:p>
    <w:p>
      <w:pPr>
        <w:pStyle w:val="Normal"/>
        <w:ind w:hanging="720" w:start="720" w:end="0"/>
        <w:rPr/>
      </w:pPr>
      <w:r>
        <w:rPr/>
      </w:r>
    </w:p>
    <w:p>
      <w:pPr>
        <w:pStyle w:val="Normal"/>
        <w:ind w:hanging="720" w:start="720" w:end="0"/>
        <w:rPr/>
      </w:pPr>
      <w:r>
        <w:rPr/>
        <w:t>2.</w:t>
        <w:tab/>
        <w:t>Types of collateral-Cash; letter of credit; surety bond.  Also discussed collateral.  Discussed looking at the UCC categories.</w:t>
      </w:r>
    </w:p>
    <w:p>
      <w:pPr>
        <w:pStyle w:val="Normal"/>
        <w:ind w:hanging="720" w:start="720" w:end="0"/>
        <w:rPr/>
      </w:pPr>
      <w:r>
        <w:rPr/>
      </w:r>
    </w:p>
    <w:p>
      <w:pPr>
        <w:pStyle w:val="Normal"/>
        <w:ind w:hanging="720" w:start="720" w:end="0"/>
        <w:rPr/>
      </w:pPr>
      <w:r>
        <w:rPr/>
        <w:t>3.</w:t>
        <w:tab/>
        <w:t>Who keeps collateral-Either party or a custodian.  Separate agreements to be developed depending upon who keeps the collateral.</w:t>
      </w:r>
    </w:p>
    <w:p>
      <w:pPr>
        <w:pStyle w:val="Normal"/>
        <w:ind w:hanging="720" w:start="720" w:end="0"/>
        <w:rPr/>
      </w:pPr>
      <w:r>
        <w:rPr/>
      </w:r>
    </w:p>
    <w:p>
      <w:pPr>
        <w:pStyle w:val="Normal"/>
        <w:ind w:hanging="720" w:start="720" w:end="0"/>
        <w:rPr/>
      </w:pPr>
      <w:r>
        <w:rPr/>
        <w:t>4.</w:t>
        <w:tab/>
        <w:t>Treatment of collateral-If beneficiary maintains the collateral, it should have unlimited use of the cash (unless it goes to a custodian); no limits on repledging the cash; report back on how much they are holding; interest accrued; need to allow pledging party to require that the monies go to a custodian (did not discuss whether this is totally unilateral or if it has to be based on credit issues);  develop standards for the custodian account (how will it be set up to ensure that the pledging party will get its money back).  If posting party maintains the collateral, obligations of due care, access to premises for sale, can not sell out of ordinary course of business.</w:t>
      </w:r>
    </w:p>
    <w:p>
      <w:pPr>
        <w:pStyle w:val="Normal"/>
        <w:ind w:hanging="720" w:start="720" w:end="0"/>
        <w:rPr/>
      </w:pPr>
      <w:r>
        <w:rPr/>
      </w:r>
    </w:p>
    <w:p>
      <w:pPr>
        <w:pStyle w:val="Normal"/>
        <w:ind w:hanging="720" w:start="720" w:end="0"/>
        <w:rPr/>
      </w:pPr>
      <w:r>
        <w:rPr/>
        <w:t>5.</w:t>
        <w:tab/>
        <w:t>Determination of amount of collateral-Initially will be set by agreement of the parties;  Also will allow change in collateral based upon changes in net exposure.  Will allow partial reductions in collateral.</w:t>
      </w:r>
    </w:p>
    <w:p>
      <w:pPr>
        <w:pStyle w:val="Normal"/>
        <w:ind w:hanging="720" w:start="720" w:end="0"/>
        <w:rPr/>
      </w:pPr>
      <w:r>
        <w:rPr/>
      </w:r>
    </w:p>
    <w:p>
      <w:pPr>
        <w:pStyle w:val="Normal"/>
        <w:ind w:hanging="720" w:start="720" w:end="0"/>
        <w:rPr/>
      </w:pPr>
      <w:r>
        <w:rPr/>
        <w:t>6.</w:t>
        <w:tab/>
        <w:t>Defaults-Look at language in Reliant margin agreement and the proffered security agreement.</w:t>
      </w:r>
    </w:p>
    <w:p>
      <w:pPr>
        <w:pStyle w:val="Normal"/>
        <w:ind w:hanging="720" w:start="720" w:end="0"/>
        <w:rPr/>
      </w:pPr>
      <w:r>
        <w:rPr/>
      </w:r>
    </w:p>
    <w:p>
      <w:pPr>
        <w:pStyle w:val="Normal"/>
        <w:ind w:hanging="720" w:start="720" w:end="0"/>
        <w:rPr/>
      </w:pPr>
      <w:r>
        <w:rPr/>
        <w:t>7.</w:t>
        <w:tab/>
        <w:t>Disputes-Post undisputed amounts.  To resolve disputes use dealer quotes with each side providing up to a certain number of quotes with the quotes averaged.  Required to get done within one day.  Alternatively, the parties could agree before the transaction to an umpire.</w:t>
      </w:r>
    </w:p>
    <w:p>
      <w:pPr>
        <w:pStyle w:val="Normal"/>
        <w:ind w:hanging="720" w:start="720" w:end="0"/>
        <w:rPr/>
      </w:pPr>
      <w:r>
        <w:rPr/>
      </w:r>
    </w:p>
    <w:p>
      <w:pPr>
        <w:pStyle w:val="Normal"/>
        <w:ind w:hanging="720" w:start="720" w:end="0"/>
        <w:rPr/>
      </w:pPr>
      <w:r>
        <w:rPr/>
        <w:t>8.</w:t>
        <w:tab/>
        <w:t xml:space="preserve">Cross-Defaults-Consider adding option creating a default if a party defaults on any other contract.  Obligation to notify of defaults. </w:t>
      </w:r>
    </w:p>
    <w:p>
      <w:pPr>
        <w:pStyle w:val="Normal"/>
        <w:rPr/>
      </w:pPr>
      <w:r>
        <w:rPr/>
      </w:r>
    </w:p>
    <w:p>
      <w:pPr>
        <w:pStyle w:val="Normal"/>
        <w:ind w:firstLine="720" w:end="0"/>
        <w:rPr/>
      </w:pPr>
      <w:r>
        <w:rPr/>
        <w:t>On the collateral agreement, a principal discussion involved the types of collateral.  Participants generally believed that most collateral would consist of cash accounts, though other collateral may be considered.  Also discussed was how the cash would be held.  More work on this aspect of the agreement is necessary.  At the meeting, there was support for having an agreement like this one available for use if the parties agreed.</w:t>
      </w:r>
    </w:p>
    <w:p>
      <w:pPr>
        <w:pStyle w:val="Normal"/>
        <w:rPr/>
      </w:pPr>
      <w:r>
        <w:rPr/>
      </w:r>
    </w:p>
    <w:p>
      <w:pPr>
        <w:pStyle w:val="Normal"/>
        <w:ind w:firstLine="720" w:end="0"/>
        <w:rPr/>
      </w:pPr>
      <w:r>
        <w:rPr/>
        <w:t>Participants also wanted to have a form margin agreement available for use.  The discussion focussed on the Reliant agreement though the participants had not had time to review it.  Among the areas discussed with regard to this agreement were how to resolve disputes (i.e. what dealer quotes to use and the timing for resolving the disputes) and allowing partial reductions in collateral requirements.  We also discussed the problem with a party providing cash (essentially prepaying for service) without having any security interest in the amounts prepaid.  We need to discuss this issue further to develop a consensus position.</w:t>
      </w:r>
    </w:p>
    <w:p>
      <w:pPr>
        <w:pStyle w:val="Normal"/>
        <w:rPr/>
      </w:pPr>
      <w:r>
        <w:rPr/>
      </w:r>
    </w:p>
    <w:p>
      <w:pPr>
        <w:pStyle w:val="Normal"/>
        <w:ind w:firstLine="720" w:end="0"/>
        <w:rPr/>
      </w:pPr>
      <w:r>
        <w:rPr/>
        <w:t xml:space="preserve">We will have a conference call in December to discuss these agreements further as well as a contracting meeting in January.  </w:t>
      </w:r>
    </w:p>
    <w:p>
      <w:pPr>
        <w:pStyle w:val="Normal"/>
        <w:rPr/>
      </w:pPr>
      <w:r>
        <w:rPr/>
      </w:r>
    </w:p>
    <w:p>
      <w:pPr>
        <w:pStyle w:val="Normal"/>
        <w:ind w:firstLine="720" w:end="0"/>
        <w:jc w:val="center"/>
        <w:rPr>
          <w:b/>
        </w:rPr>
      </w:pPr>
      <w:r>
        <w:rPr>
          <w:b/>
        </w:rPr>
        <w:t>November 2, 2001 Executive Committee Meeting</w:t>
      </w:r>
    </w:p>
    <w:p>
      <w:pPr>
        <w:pStyle w:val="Normal"/>
        <w:rPr>
          <w:b/>
        </w:rPr>
      </w:pPr>
      <w:r>
        <w:rPr>
          <w:b/>
        </w:rPr>
      </w:r>
    </w:p>
    <w:p>
      <w:pPr>
        <w:pStyle w:val="Normal"/>
        <w:rPr/>
      </w:pPr>
      <w:r>
        <w:rPr/>
        <w:t>The language changes to the WSPP Agreement were approved with a few modifications:</w:t>
      </w:r>
    </w:p>
    <w:p>
      <w:pPr>
        <w:pStyle w:val="Normal"/>
        <w:rPr/>
      </w:pPr>
      <w:r>
        <w:rPr/>
      </w:r>
    </w:p>
    <w:p>
      <w:pPr>
        <w:pStyle w:val="Normal"/>
        <w:ind w:hanging="720" w:start="720" w:end="0"/>
        <w:rPr/>
      </w:pPr>
      <w:r>
        <w:rPr/>
        <w:t>1.</w:t>
        <w:tab/>
        <w:t>Reach Through Language:  The language from the operating committee which makes it easier for parties to bring in other products under the WSPP umbrella agreement was adopted without modification by consensus.</w:t>
      </w:r>
    </w:p>
    <w:p>
      <w:pPr>
        <w:pStyle w:val="Normal"/>
        <w:ind w:hanging="720" w:start="720" w:end="0"/>
        <w:rPr/>
      </w:pPr>
      <w:r>
        <w:rPr/>
      </w:r>
    </w:p>
    <w:p>
      <w:pPr>
        <w:pStyle w:val="Normal"/>
        <w:ind w:hanging="720" w:start="720" w:end="0"/>
        <w:rPr/>
      </w:pPr>
      <w:r>
        <w:rPr/>
        <w:t>2.</w:t>
        <w:tab/>
        <w:t>Revisions to Section 28-Section 28 was revised to make clear that it applies only to payment netting, to provide that the WSPP netting agreement need only be provided to the WSPP representative, and to provide that any terminations of netting will require notice to affected counter-parties.  These changes were adopted by consensus without modification.</w:t>
      </w:r>
    </w:p>
    <w:p>
      <w:pPr>
        <w:pStyle w:val="Normal"/>
        <w:ind w:hanging="720" w:start="720" w:end="0"/>
        <w:rPr/>
      </w:pPr>
      <w:r>
        <w:rPr/>
      </w:r>
    </w:p>
    <w:p>
      <w:pPr>
        <w:pStyle w:val="Normal"/>
        <w:ind w:hanging="720" w:start="720" w:end="0"/>
        <w:rPr/>
      </w:pPr>
      <w:r>
        <w:rPr/>
        <w:t>3.</w:t>
        <w:tab/>
        <w:t xml:space="preserve">A new Section 32.5 to limit changes to the WSPP Agreement that may be made automatically through the confirmation process after the five day was adopted.  Under this new provision, non-standard confirmation provisions (e.g. changes to the basic terms of the WSPP Agreement) may be adopted only if there is explicit agreement to those changes and not by operation of the five day rule.  The modification adopted at the Executive Committee was to limit the oral agreements allowing such modifications to transactions of less than one week.  This provision as modified was adopted with only one dissenting vote.  </w:t>
      </w:r>
    </w:p>
    <w:p>
      <w:pPr>
        <w:pStyle w:val="Normal"/>
        <w:ind w:hanging="720" w:start="720" w:end="0"/>
        <w:rPr/>
      </w:pPr>
      <w:r>
        <w:rPr/>
      </w:r>
    </w:p>
    <w:p>
      <w:pPr>
        <w:pStyle w:val="Normal"/>
        <w:ind w:hanging="720" w:start="720" w:end="0"/>
        <w:rPr/>
      </w:pPr>
      <w:r>
        <w:rPr/>
        <w:t>4.</w:t>
        <w:tab/>
        <w:t>The proposal to adopt a new section 32.6 to allow electronic confirmation if the parties agree on the procedures and format for doing so was adopted by consensus.</w:t>
      </w:r>
    </w:p>
    <w:p>
      <w:pPr>
        <w:pStyle w:val="Normal"/>
        <w:ind w:hanging="720" w:start="720" w:end="0"/>
        <w:rPr/>
      </w:pPr>
      <w:r>
        <w:rPr/>
      </w:r>
    </w:p>
    <w:p>
      <w:pPr>
        <w:pStyle w:val="Normal"/>
        <w:ind w:hanging="720" w:start="720" w:end="0"/>
        <w:rPr/>
      </w:pPr>
      <w:r>
        <w:rPr/>
        <w:t>5.</w:t>
        <w:tab/>
        <w:t>The floating price language was adopted by consensus with one modification.  The floating price language sets out procedures for dealing with disruptions in indices used to establish prices under contracts.  The modification was to eliminate “leading” from before Brokers and Dealers used to provide quotes to develop a substitute price.</w:t>
      </w:r>
    </w:p>
    <w:p>
      <w:pPr>
        <w:pStyle w:val="Normal"/>
        <w:ind w:hanging="720" w:start="720" w:end="0"/>
        <w:rPr/>
      </w:pPr>
      <w:r>
        <w:rPr/>
      </w:r>
    </w:p>
    <w:p>
      <w:pPr>
        <w:pStyle w:val="Normal"/>
        <w:ind w:hanging="720" w:start="720" w:end="0"/>
        <w:rPr/>
      </w:pPr>
      <w:r>
        <w:rPr/>
        <w:t>6.</w:t>
        <w:tab/>
        <w:t>The proposal to reorganize the WSPP Agreement to separate WSPP operations provisions from contract provisions was approved by consensus.  Under this restructuring, there will be no substantive changes.</w:t>
      </w:r>
    </w:p>
    <w:p>
      <w:pPr>
        <w:pStyle w:val="Normal"/>
        <w:rPr/>
      </w:pPr>
      <w:r>
        <w:rPr/>
      </w:r>
    </w:p>
    <w:p>
      <w:pPr>
        <w:pStyle w:val="Normal"/>
        <w:ind w:firstLine="720" w:end="0"/>
        <w:rPr/>
      </w:pPr>
      <w:r>
        <w:rPr/>
        <w:t xml:space="preserve">These changes will be filed with FERC by the end of November to be effective on February 1, 2001.  </w:t>
      </w:r>
    </w:p>
    <w:p>
      <w:pPr>
        <w:pStyle w:val="Normal"/>
        <w:rPr/>
      </w:pPr>
      <w:r>
        <w:rPr/>
      </w:r>
    </w:p>
    <w:p>
      <w:pPr>
        <w:pStyle w:val="Normal"/>
        <w:ind w:firstLine="720" w:end="0"/>
        <w:rPr/>
      </w:pPr>
      <w:r>
        <w:rPr/>
        <w:t>The Executive Committee also discussed whether any changes needed to be made to the 90 percent voting requirement and decided to leave it alone.  Members took comfort in the fact that it made it difficult for changes to be adopted without consensus.</w:t>
      </w:r>
    </w:p>
    <w:p>
      <w:pPr>
        <w:pStyle w:val="Normal"/>
        <w:rPr/>
      </w:pPr>
      <w:r>
        <w:rPr/>
      </w:r>
    </w:p>
    <w:p>
      <w:pPr>
        <w:pStyle w:val="Normal"/>
        <w:ind w:firstLine="720" w:end="0"/>
        <w:rPr/>
      </w:pPr>
      <w:r>
        <w:rPr/>
        <w:t>The Executive Committee discussed whether substantive changes to the WSPP Agreement can be made by fax vote.  While allowed by the Bylaws, the Executive Committee stated that such changes should be made only after a meeting, though members not in attendance will be allowed to provide another member with their proxy.</w:t>
      </w:r>
    </w:p>
    <w:p>
      <w:pPr>
        <w:pStyle w:val="Normal"/>
        <w:rPr/>
      </w:pPr>
      <w:r>
        <w:rPr/>
      </w:r>
    </w:p>
    <w:p>
      <w:pPr>
        <w:pStyle w:val="Normal"/>
        <w:ind w:firstLine="720" w:end="0"/>
        <w:rPr/>
      </w:pPr>
      <w:r>
        <w:rPr/>
        <w:t>The budget for the next year was approved and the Board of Trustees elected as provided in the Bylaws.</w:t>
      </w:r>
    </w:p>
    <w:p>
      <w:pPr>
        <w:pStyle w:val="Normal"/>
        <w:rPr/>
      </w:pPr>
      <w:r>
        <w:rPr/>
      </w:r>
    </w:p>
    <w:p>
      <w:pPr>
        <w:pStyle w:val="Normal"/>
        <w:rPr/>
      </w:pPr>
      <w:r>
        <w:rPr/>
      </w:r>
    </w:p>
    <w:p>
      <w:pPr>
        <w:pStyle w:val="Normal"/>
        <w:rPr>
          <w:sz w:val="20"/>
        </w:rPr>
      </w:pPr>
      <w:r>
        <w:rPr>
          <w:sz w:val="20"/>
        </w:rPr>
        <w:t>wspp/wspp 11-1 &amp; 2-01 meetings in san diego</w:t>
      </w:r>
    </w:p>
    <w:sectPr>
      <w:footerReference w:type="default" r:id="rId2"/>
      <w:footerReference w:type="first" r:id="rId3"/>
      <w:type w:val="nextPage"/>
      <w:pgSz w:w="12240" w:h="15840"/>
      <w:pgMar w:left="2160" w:right="1440" w:gutter="0" w:header="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PageNumber">
    <w:name w:val="page number"/>
    <w:basedOn w:val="DefaultParagraphFont"/>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2001-11-07T13:03:00Z</dcterms:created>
  <dc:creator>Winona Howard</dc:creator>
  <dc:description/>
  <dc:language>en-CA</dc:language>
  <cp:lastModifiedBy>Winona Howard</cp:lastModifiedBy>
  <cp:lastPrinted>2001-11-07T10:39:00Z</cp:lastPrinted>
  <dcterms:modified xsi:type="dcterms:W3CDTF">2001-11-07T13:14:00Z</dcterms:modified>
  <cp:revision>4</cp:revision>
  <dc:subject/>
  <dc:title>WSPP CONTRACTING COMMITTEE MEETING</dc:title>
</cp:coreProperties>
</file>