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u w:val="none"/>
        </w:rPr>
      </w:pPr>
      <w:r>
        <w:rPr>
          <w:u w:val="none"/>
        </w:rPr>
        <w:t>ESC Report to the World Services Congress Plenary</w:t>
      </w:r>
    </w:p>
    <w:p>
      <w:pPr>
        <w:pStyle w:val="Heading"/>
        <w:rPr>
          <w:u w:val="none"/>
        </w:rPr>
      </w:pPr>
      <w:r>
        <w:rPr>
          <w:u w:val="none"/>
        </w:rPr>
        <w:t>Terrence Thorn</w:t>
      </w:r>
    </w:p>
    <w:p>
      <w:pPr>
        <w:pStyle w:val="Heading"/>
        <w:rPr>
          <w:u w:val="none"/>
        </w:rPr>
      </w:pPr>
      <w:r>
        <w:rPr>
          <w:u w:val="none"/>
        </w:rPr>
        <w:t>Executive Vice President</w:t>
      </w:r>
    </w:p>
    <w:p>
      <w:pPr>
        <w:pStyle w:val="Heading"/>
        <w:rPr>
          <w:u w:val="none"/>
        </w:rPr>
      </w:pPr>
      <w:r>
        <w:rPr>
          <w:u w:val="none"/>
        </w:rPr>
        <w:t>Enron</w:t>
      </w:r>
    </w:p>
    <w:p>
      <w:pPr>
        <w:pStyle w:val="Heading"/>
        <w:rPr>
          <w:u w:val="none"/>
        </w:rPr>
      </w:pPr>
      <w:r>
        <w:rPr>
          <w:u w:val="none"/>
        </w:rPr>
        <w:t>11/2/99</w:t>
      </w:r>
    </w:p>
    <w:p>
      <w:pPr>
        <w:pStyle w:val="Heading"/>
        <w:jc w:val="start"/>
        <w:rPr>
          <w:u w:val="none"/>
        </w:rPr>
      </w:pPr>
      <w:r>
        <w:rPr>
          <w:u w:val="none"/>
        </w:rPr>
      </w:r>
    </w:p>
    <w:p>
      <w:pPr>
        <w:pStyle w:val="Heading"/>
        <w:jc w:val="start"/>
        <w:rPr>
          <w:u w:val="none"/>
        </w:rPr>
      </w:pPr>
      <w:r>
        <w:rPr>
          <w:u w:val="none"/>
        </w:rPr>
      </w:r>
    </w:p>
    <w:p>
      <w:pPr>
        <w:pStyle w:val="Heading"/>
        <w:jc w:val="start"/>
        <w:rPr>
          <w:b w:val="false"/>
          <w:u w:val="none"/>
        </w:rPr>
      </w:pPr>
      <w:r>
        <w:rPr>
          <w:b w:val="false"/>
          <w:u w:val="none"/>
        </w:rPr>
        <w:t>A remarkable conversion of events has catapulted access to the energy services industry into an important trade issue for the next millennium, these are:</w:t>
      </w:r>
    </w:p>
    <w:p>
      <w:pPr>
        <w:pStyle w:val="Heading"/>
        <w:jc w:val="start"/>
        <w:rPr>
          <w:b w:val="false"/>
          <w:u w:val="none"/>
        </w:rPr>
      </w:pPr>
      <w:r>
        <w:rPr>
          <w:b w:val="false"/>
          <w:u w:val="none"/>
        </w:rPr>
      </w:r>
    </w:p>
    <w:p>
      <w:pPr>
        <w:pStyle w:val="Heading"/>
        <w:numPr>
          <w:ilvl w:val="0"/>
          <w:numId w:val="3"/>
        </w:numPr>
        <w:jc w:val="start"/>
        <w:rPr>
          <w:b w:val="false"/>
          <w:u w:val="none"/>
        </w:rPr>
      </w:pPr>
      <w:r>
        <w:rPr>
          <w:b w:val="false"/>
          <w:u w:val="none"/>
        </w:rPr>
        <w:t>The trends of privatization, liberalization, competition and transborder transactions in the energy sector;</w:t>
      </w:r>
    </w:p>
    <w:p>
      <w:pPr>
        <w:pStyle w:val="Heading"/>
        <w:jc w:val="start"/>
        <w:rPr>
          <w:b w:val="false"/>
          <w:u w:val="none"/>
        </w:rPr>
      </w:pPr>
      <w:r>
        <w:rPr>
          <w:b w:val="false"/>
          <w:u w:val="none"/>
        </w:rPr>
      </w:r>
    </w:p>
    <w:p>
      <w:pPr>
        <w:pStyle w:val="Heading"/>
        <w:numPr>
          <w:ilvl w:val="0"/>
          <w:numId w:val="3"/>
        </w:numPr>
        <w:jc w:val="start"/>
        <w:rPr>
          <w:b w:val="false"/>
          <w:u w:val="none"/>
        </w:rPr>
      </w:pPr>
      <w:r>
        <w:rPr>
          <w:b w:val="false"/>
          <w:u w:val="none"/>
        </w:rPr>
        <w:t>The increasing need for energy and energy infrastructure – 45%increase by the year 2015 – to maintain the world’s rapid economic growth;</w:t>
      </w:r>
    </w:p>
    <w:p>
      <w:pPr>
        <w:pStyle w:val="Heading"/>
        <w:jc w:val="start"/>
        <w:rPr>
          <w:b w:val="false"/>
          <w:u w:val="none"/>
        </w:rPr>
      </w:pPr>
      <w:r>
        <w:rPr>
          <w:b w:val="false"/>
          <w:u w:val="none"/>
        </w:rPr>
      </w:r>
    </w:p>
    <w:p>
      <w:pPr>
        <w:pStyle w:val="Heading"/>
        <w:numPr>
          <w:ilvl w:val="0"/>
          <w:numId w:val="3"/>
        </w:numPr>
        <w:jc w:val="start"/>
        <w:rPr>
          <w:b w:val="false"/>
          <w:u w:val="none"/>
        </w:rPr>
      </w:pPr>
      <w:r>
        <w:rPr>
          <w:b w:val="false"/>
          <w:u w:val="none"/>
        </w:rPr>
        <w:t>The serious concerns about mitigating the environmental impact of increased economic growth; and</w:t>
      </w:r>
    </w:p>
    <w:p>
      <w:pPr>
        <w:pStyle w:val="Heading"/>
        <w:jc w:val="start"/>
        <w:rPr>
          <w:b w:val="false"/>
          <w:u w:val="none"/>
        </w:rPr>
      </w:pPr>
      <w:r>
        <w:rPr>
          <w:b w:val="false"/>
          <w:u w:val="none"/>
        </w:rPr>
      </w:r>
    </w:p>
    <w:p>
      <w:pPr>
        <w:pStyle w:val="Heading"/>
        <w:numPr>
          <w:ilvl w:val="0"/>
          <w:numId w:val="3"/>
        </w:numPr>
        <w:jc w:val="start"/>
        <w:rPr>
          <w:b w:val="false"/>
          <w:u w:val="none"/>
        </w:rPr>
      </w:pPr>
      <w:r>
        <w:rPr>
          <w:b w:val="false"/>
          <w:u w:val="none"/>
        </w:rPr>
        <w:t>The blurring of lines between energy, financial, and telecommunications.</w:t>
      </w:r>
    </w:p>
    <w:p>
      <w:pPr>
        <w:pStyle w:val="Heading"/>
        <w:jc w:val="start"/>
        <w:rPr>
          <w:b w:val="false"/>
          <w:u w:val="none"/>
        </w:rPr>
      </w:pPr>
      <w:r>
        <w:rPr>
          <w:b w:val="false"/>
          <w:u w:val="none"/>
        </w:rPr>
      </w:r>
    </w:p>
    <w:p>
      <w:pPr>
        <w:pStyle w:val="Heading"/>
        <w:jc w:val="start"/>
        <w:rPr>
          <w:b w:val="false"/>
          <w:u w:val="none"/>
        </w:rPr>
      </w:pPr>
      <w:r>
        <w:rPr>
          <w:b w:val="false"/>
          <w:u w:val="none"/>
        </w:rPr>
        <w:t>It was concluded that the energy services industry in conjunction with the environmental service industry will make significant contributions in these areas:</w:t>
      </w:r>
    </w:p>
    <w:p>
      <w:pPr>
        <w:pStyle w:val="Heading"/>
        <w:jc w:val="start"/>
        <w:rPr>
          <w:b w:val="false"/>
          <w:u w:val="none"/>
        </w:rPr>
      </w:pPr>
      <w:r>
        <w:rPr>
          <w:b w:val="false"/>
          <w:u w:val="none"/>
        </w:rPr>
      </w:r>
    </w:p>
    <w:p>
      <w:pPr>
        <w:pStyle w:val="Heading"/>
        <w:numPr>
          <w:ilvl w:val="0"/>
          <w:numId w:val="2"/>
        </w:numPr>
        <w:jc w:val="start"/>
        <w:rPr>
          <w:b w:val="false"/>
          <w:u w:val="none"/>
        </w:rPr>
      </w:pPr>
      <w:r>
        <w:rPr>
          <w:b w:val="false"/>
          <w:u w:val="none"/>
        </w:rPr>
        <w:t>The more efficient and environmentally friendly production, transportation, and distribution of energy to all;</w:t>
      </w:r>
    </w:p>
    <w:p>
      <w:pPr>
        <w:pStyle w:val="Heading"/>
        <w:jc w:val="start"/>
        <w:rPr>
          <w:b w:val="false"/>
          <w:u w:val="none"/>
        </w:rPr>
      </w:pPr>
      <w:r>
        <w:rPr>
          <w:b w:val="false"/>
          <w:u w:val="none"/>
        </w:rPr>
      </w:r>
    </w:p>
    <w:p>
      <w:pPr>
        <w:pStyle w:val="Heading"/>
        <w:numPr>
          <w:ilvl w:val="0"/>
          <w:numId w:val="2"/>
        </w:numPr>
        <w:jc w:val="start"/>
        <w:rPr>
          <w:b w:val="false"/>
          <w:u w:val="none"/>
        </w:rPr>
      </w:pPr>
      <w:r>
        <w:rPr>
          <w:b w:val="false"/>
          <w:u w:val="none"/>
        </w:rPr>
        <w:t>Providing systems and processes to more efficiently reduce energy use and curb and mitigate pollution; and</w:t>
      </w:r>
    </w:p>
    <w:p>
      <w:pPr>
        <w:pStyle w:val="Heading"/>
        <w:jc w:val="start"/>
        <w:rPr>
          <w:b w:val="false"/>
          <w:u w:val="none"/>
        </w:rPr>
      </w:pPr>
      <w:r>
        <w:rPr>
          <w:b w:val="false"/>
          <w:u w:val="none"/>
        </w:rPr>
      </w:r>
    </w:p>
    <w:p>
      <w:pPr>
        <w:pStyle w:val="Heading"/>
        <w:numPr>
          <w:ilvl w:val="0"/>
          <w:numId w:val="2"/>
        </w:numPr>
        <w:jc w:val="start"/>
        <w:rPr>
          <w:b w:val="false"/>
          <w:u w:val="none"/>
        </w:rPr>
      </w:pPr>
      <w:r>
        <w:rPr>
          <w:b w:val="false"/>
          <w:u w:val="none"/>
        </w:rPr>
        <w:t>Provide financial products and services to assure long-term energy at affordable prices</w:t>
      </w:r>
    </w:p>
    <w:p>
      <w:pPr>
        <w:pStyle w:val="Heading"/>
        <w:jc w:val="start"/>
        <w:rPr>
          <w:b w:val="false"/>
          <w:u w:val="none"/>
        </w:rPr>
      </w:pPr>
      <w:r>
        <w:rPr>
          <w:b w:val="false"/>
          <w:u w:val="none"/>
        </w:rPr>
      </w:r>
    </w:p>
    <w:p>
      <w:pPr>
        <w:pStyle w:val="Heading"/>
        <w:jc w:val="start"/>
        <w:rPr>
          <w:b w:val="false"/>
          <w:u w:val="none"/>
        </w:rPr>
      </w:pPr>
      <w:r>
        <w:rPr>
          <w:b w:val="false"/>
          <w:u w:val="none"/>
        </w:rPr>
        <w:t>Since the success and contribution of energy services is contingent on unfettered access to markets, companies, and individual consumers, we ask the World Trade Organization to increase substantially global market access opportunities for the energy services providers through all appropriate modalities in the new negotiating round of the World Trade organization.</w:t>
      </w:r>
    </w:p>
    <w:p>
      <w:pPr>
        <w:pStyle w:val="Heading"/>
        <w:jc w:val="start"/>
        <w:rPr>
          <w:b w:val="false"/>
          <w:u w:val="none"/>
        </w:rPr>
      </w:pPr>
      <w:r>
        <w:rPr>
          <w:b w:val="false"/>
          <w:u w:val="none"/>
        </w:rPr>
      </w:r>
    </w:p>
    <w:p>
      <w:pPr>
        <w:pStyle w:val="Heading"/>
        <w:rPr/>
      </w:pPr>
      <w:r>
        <w:rPr/>
        <w:t>World Services Congress Energy Services Resolution</w:t>
      </w:r>
    </w:p>
    <w:p>
      <w:pPr>
        <w:pStyle w:val="Heading"/>
        <w:rPr/>
      </w:pPr>
      <w:r>
        <w:rPr/>
      </w:r>
    </w:p>
    <w:p>
      <w:pPr>
        <w:pStyle w:val="Heading"/>
        <w:rPr>
          <w:u w:val="none"/>
        </w:rPr>
      </w:pPr>
      <w:r>
        <w:rPr>
          <w:u w:val="none"/>
        </w:rPr>
        <w:t>Presented and Accepted on November 2, 1999</w:t>
      </w:r>
    </w:p>
    <w:p>
      <w:pPr>
        <w:pStyle w:val="Normal"/>
        <w:rPr>
          <w:b/>
          <w:u w:val="none"/>
        </w:rPr>
      </w:pPr>
      <w:r>
        <w:rPr>
          <w:b/>
          <w:u w:val="none"/>
        </w:rPr>
      </w:r>
    </w:p>
    <w:p>
      <w:pPr>
        <w:pStyle w:val="Normal"/>
        <w:rPr>
          <w:b/>
        </w:rPr>
      </w:pPr>
      <w:r>
        <w:rPr>
          <w:b/>
        </w:rPr>
      </w:r>
    </w:p>
    <w:p>
      <w:pPr>
        <w:pStyle w:val="Normal"/>
        <w:rPr>
          <w:b/>
        </w:rPr>
      </w:pPr>
      <w:r>
        <w:rPr>
          <w:b/>
        </w:rPr>
      </w:r>
    </w:p>
    <w:p>
      <w:pPr>
        <w:pStyle w:val="Normal"/>
        <w:rPr/>
      </w:pPr>
      <w:r>
        <w:rPr/>
        <w:t>The World Services Congress recognizes that:</w:t>
      </w:r>
    </w:p>
    <w:p>
      <w:pPr>
        <w:pStyle w:val="Normal"/>
        <w:rPr>
          <w:b/>
          <w:i/>
          <w:i/>
        </w:rPr>
      </w:pPr>
      <w:r>
        <w:rPr>
          <w:b/>
          <w:i/>
        </w:rPr>
      </w:r>
    </w:p>
    <w:p>
      <w:pPr>
        <w:pStyle w:val="Normal"/>
        <w:numPr>
          <w:ilvl w:val="0"/>
          <w:numId w:val="4"/>
        </w:numPr>
        <w:rPr/>
      </w:pPr>
      <w:r>
        <w:rPr/>
        <w:t>Energy services comprise an array of service activities related to the development, extraction, production, distribution, marketing consumption and management of energy products, including coal, electricity, gas, nuclear, oil and renewable energy sources.</w:t>
      </w:r>
    </w:p>
    <w:p>
      <w:pPr>
        <w:pStyle w:val="Normal"/>
        <w:rPr/>
      </w:pPr>
      <w:r>
        <w:rPr/>
      </w:r>
    </w:p>
    <w:p>
      <w:pPr>
        <w:pStyle w:val="Normal"/>
        <w:numPr>
          <w:ilvl w:val="0"/>
          <w:numId w:val="4"/>
        </w:numPr>
        <w:rPr/>
      </w:pPr>
      <w:r>
        <w:rPr/>
        <w:t>Energy services provide the critical linkages in ensuring continued access to adequate energy supplies at reasonable prices.</w:t>
      </w:r>
    </w:p>
    <w:p>
      <w:pPr>
        <w:pStyle w:val="Normal"/>
        <w:rPr/>
      </w:pPr>
      <w:r>
        <w:rPr/>
      </w:r>
    </w:p>
    <w:p>
      <w:pPr>
        <w:pStyle w:val="Normal"/>
        <w:numPr>
          <w:ilvl w:val="0"/>
          <w:numId w:val="4"/>
        </w:numPr>
        <w:rPr/>
      </w:pPr>
      <w:r>
        <w:rPr/>
        <w:t>A thriving energy services sector is critical to economic well-being and improved living standards, especially with its potential to serve the 2 billion people who today do not have access to commercial energy.</w:t>
      </w:r>
    </w:p>
    <w:p>
      <w:pPr>
        <w:pStyle w:val="Normal"/>
        <w:rPr/>
      </w:pPr>
      <w:r>
        <w:rPr/>
      </w:r>
    </w:p>
    <w:p>
      <w:pPr>
        <w:pStyle w:val="Heading1"/>
        <w:numPr>
          <w:ilvl w:val="0"/>
          <w:numId w:val="4"/>
        </w:numPr>
        <w:rPr>
          <w:b w:val="false"/>
          <w:i w:val="false"/>
          <w:i w:val="false"/>
        </w:rPr>
      </w:pPr>
      <w:r>
        <w:rPr>
          <w:b w:val="false"/>
          <w:i w:val="false"/>
        </w:rPr>
        <w:t>A growing energy services sector helps protect the environment by promoting efficient energy management and energy resource use.</w:t>
      </w:r>
    </w:p>
    <w:p>
      <w:pPr>
        <w:pStyle w:val="Normal"/>
        <w:rPr>
          <w:b/>
          <w:i/>
          <w:i/>
        </w:rPr>
      </w:pPr>
      <w:r>
        <w:rPr>
          <w:b/>
          <w:i/>
        </w:rPr>
      </w:r>
    </w:p>
    <w:p>
      <w:pPr>
        <w:pStyle w:val="Normal"/>
        <w:rPr/>
      </w:pPr>
      <w:r>
        <w:rPr>
          <w:b/>
        </w:rPr>
        <w:t>The World Services Congress and its private sector members urge the WTO Ministerial to increase substantially global market access opportunities for energy services providers through all appropriate modalities in the new round of WTO services negotiations.</w:t>
      </w:r>
      <w:r>
        <w:rPr/>
        <w:t xml:space="preserve"> The World Services Congress recommends the clarification of the application of existing General Agreement on Trade in Services (GATS) commitments to certain energy services; and the extension of existing GATS commitments to other energy services; and the development of new disciplines (as necessary) to ensure meaningful market access commitments, including an open regulatory environment that covers such areas as interconnection guarantees and transparent, non-discriminatory licensing procedures.</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1999-11-02T19:11:00Z</dcterms:created>
  <dc:creator>RCFisher</dc:creator>
  <dc:description/>
  <dc:language>en-CA</dc:language>
  <cp:lastModifiedBy>Christopher M. Long</cp:lastModifiedBy>
  <cp:lastPrinted>1999-11-01T09:10:00Z</cp:lastPrinted>
  <dcterms:modified xsi:type="dcterms:W3CDTF">1999-11-02T19:11:00Z</dcterms:modified>
  <cp:revision>2</cp:revision>
  <dc:subject/>
  <dc:title>Whereas energy services comprise an array of service activities related to the development, extraction, production, distributi</dc:title>
</cp:coreProperties>
</file>