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44"/>
        </w:rPr>
        <w:t>WRMA SECOND ANNUAL CONVENTION</w:t>
      </w:r>
      <w:r>
        <w:rPr/>
        <w:t xml:space="preserve"> </w:t>
      </w:r>
      <w:r>
        <w:rPr>
          <w:sz w:val="44"/>
        </w:rPr>
        <w:t>…</w:t>
      </w:r>
      <w:r>
        <w:rPr>
          <w:i/>
          <w:sz w:val="36"/>
        </w:rPr>
        <w:t>Looking at the impact of weather on the global end-user enterprise risk with emphasis on optimal hedging strategies</w:t>
      </w:r>
      <w:r>
        <w:rPr>
          <w:sz w:val="44"/>
        </w:rPr>
        <w:t>.</w:t>
      </w:r>
    </w:p>
    <w:p>
      <w:pPr>
        <w:pStyle w:val="Heading2"/>
        <w:ind w:hanging="0" w:start="0"/>
        <w:rPr/>
      </w:pPr>
      <w:r>
        <w:rPr/>
        <w:t>Preliminary Schedule</w:t>
      </w:r>
    </w:p>
    <w:p>
      <w:pPr>
        <w:pStyle w:val="Normal"/>
        <w:jc w:val="center"/>
        <w:rPr>
          <w:sz w:val="44"/>
        </w:rPr>
      </w:pPr>
      <w:r>
        <w:rPr>
          <w:sz w:val="44"/>
        </w:rPr>
      </w:r>
    </w:p>
    <w:p>
      <w:pPr>
        <w:pStyle w:val="Heading1"/>
        <w:widowControl/>
        <w:ind w:hanging="0" w:start="0"/>
        <w:rPr/>
      </w:pPr>
      <w:r>
        <w:rPr/>
        <w:t>JUNE 7, 2000</w:t>
      </w:r>
    </w:p>
    <w:p>
      <w:pPr>
        <w:pStyle w:val="Normal"/>
        <w:rPr/>
      </w:pPr>
      <w:r>
        <w:rPr/>
        <w:t>5:00 – 8:00 p.m.</w:t>
        <w:tab/>
        <w:t>Registration</w:t>
      </w:r>
    </w:p>
    <w:p>
      <w:pPr>
        <w:pStyle w:val="Normal"/>
        <w:rPr/>
      </w:pPr>
      <w:r>
        <w:rPr/>
      </w:r>
    </w:p>
    <w:p>
      <w:pPr>
        <w:pStyle w:val="Normal"/>
        <w:rPr/>
      </w:pPr>
      <w:r>
        <w:rPr/>
        <w:t>6:00 – 8:00 p.m.</w:t>
        <w:tab/>
        <w:t>Opening Welcome Reception</w:t>
      </w:r>
    </w:p>
    <w:p>
      <w:pPr>
        <w:pStyle w:val="Normal"/>
        <w:rPr/>
      </w:pPr>
      <w:r>
        <w:rPr/>
      </w:r>
    </w:p>
    <w:p>
      <w:pPr>
        <w:pStyle w:val="Heading1"/>
        <w:widowControl/>
        <w:ind w:hanging="0" w:start="0"/>
        <w:rPr/>
      </w:pPr>
      <w:r>
        <w:rPr/>
        <w:t>JUNE 8, 2000</w:t>
      </w:r>
    </w:p>
    <w:p>
      <w:pPr>
        <w:pStyle w:val="Normal"/>
        <w:rPr/>
      </w:pPr>
      <w:r>
        <w:rPr/>
        <w:t>7:30 – Noon</w:t>
        <w:tab/>
        <w:tab/>
        <w:t>Registration</w:t>
      </w:r>
    </w:p>
    <w:p>
      <w:pPr>
        <w:pStyle w:val="Normal"/>
        <w:rPr/>
      </w:pPr>
      <w:r>
        <w:rPr/>
      </w:r>
    </w:p>
    <w:p>
      <w:pPr>
        <w:pStyle w:val="Normal"/>
        <w:rPr/>
      </w:pPr>
      <w:r>
        <w:rPr/>
        <w:t>8:00 – 9:00 a.m.</w:t>
        <w:tab/>
        <w:t>Continental Breakfast</w:t>
      </w:r>
    </w:p>
    <w:p>
      <w:pPr>
        <w:pStyle w:val="Normal"/>
        <w:rPr/>
      </w:pPr>
      <w:r>
        <w:rPr/>
      </w:r>
    </w:p>
    <w:p>
      <w:pPr>
        <w:pStyle w:val="Normal"/>
        <w:rPr/>
      </w:pPr>
      <w:r>
        <w:rPr/>
        <w:t>9:00 – 9:15 a.m.</w:t>
        <w:tab/>
        <w:t>Welcome and Opening Remarks</w:t>
      </w:r>
    </w:p>
    <w:p>
      <w:pPr>
        <w:pStyle w:val="Normal"/>
        <w:rPr/>
      </w:pPr>
      <w:r>
        <w:rPr/>
      </w:r>
    </w:p>
    <w:p>
      <w:pPr>
        <w:pStyle w:val="Normal"/>
        <w:rPr/>
      </w:pPr>
      <w:r>
        <w:rPr/>
        <w:t>9:15 – 10:15 a.m.</w:t>
        <w:tab/>
      </w:r>
      <w:r>
        <w:rPr>
          <w:b/>
          <w:i/>
        </w:rPr>
        <w:t>How should end-users analyze their weather risk.</w:t>
      </w:r>
      <w:r>
        <w:rPr/>
        <w:t xml:space="preserve">  </w:t>
      </w:r>
    </w:p>
    <w:p>
      <w:pPr>
        <w:pStyle w:val="Normal"/>
        <w:numPr>
          <w:ilvl w:val="0"/>
          <w:numId w:val="3"/>
        </w:numPr>
        <w:rPr/>
      </w:pPr>
      <w:r>
        <w:rPr/>
        <w:t>Treating your business as a ‘portfolio’ with embedded options and forwards—real options, etc.</w:t>
      </w:r>
    </w:p>
    <w:p>
      <w:pPr>
        <w:pStyle w:val="Normal"/>
        <w:numPr>
          <w:ilvl w:val="0"/>
          <w:numId w:val="3"/>
        </w:numPr>
        <w:rPr/>
      </w:pPr>
      <w:r>
        <w:rPr/>
        <w:t>Developing a risk profile – what does weather variability ‘cost’?</w:t>
      </w:r>
    </w:p>
    <w:p>
      <w:pPr>
        <w:pStyle w:val="Normal"/>
        <w:numPr>
          <w:ilvl w:val="0"/>
          <w:numId w:val="3"/>
        </w:numPr>
        <w:rPr/>
      </w:pPr>
      <w:r>
        <w:rPr/>
        <w:t>Determining value of a weather hedge</w:t>
      </w:r>
    </w:p>
    <w:p>
      <w:pPr>
        <w:pStyle w:val="Normal"/>
        <w:numPr>
          <w:ilvl w:val="0"/>
          <w:numId w:val="3"/>
        </w:numPr>
        <w:rPr/>
      </w:pPr>
      <w:r>
        <w:rPr/>
        <w:t>Using utility theory to make the hedge decision</w:t>
      </w:r>
    </w:p>
    <w:p>
      <w:pPr>
        <w:pStyle w:val="Normal"/>
        <w:numPr>
          <w:ilvl w:val="0"/>
          <w:numId w:val="3"/>
        </w:numPr>
        <w:rPr/>
      </w:pPr>
      <w:r>
        <w:rPr/>
        <w:t>Case studies of weather risk from different industries</w:t>
      </w:r>
    </w:p>
    <w:p>
      <w:pPr>
        <w:pStyle w:val="Normal"/>
        <w:rPr/>
      </w:pPr>
      <w:r>
        <w:rPr/>
      </w:r>
    </w:p>
    <w:p>
      <w:pPr>
        <w:pStyle w:val="Normal"/>
        <w:ind w:hanging="2160" w:start="2160" w:end="0"/>
        <w:rPr/>
      </w:pPr>
      <w:r>
        <w:rPr/>
        <w:t>10:15 – 11:15</w:t>
        <w:tab/>
      </w:r>
      <w:r>
        <w:rPr>
          <w:b/>
        </w:rPr>
        <w:t>Agriculture:</w:t>
      </w:r>
      <w:r>
        <w:rPr/>
        <w:t xml:space="preserve">  Information session.  Discussion of agricultural weather risk.  Role of crop insurance. Product development for agricultural end users.  Marketing channels for the agriculture industry.  Role of e-commerce in the growth of energy risk management.   </w:t>
      </w:r>
    </w:p>
    <w:p>
      <w:pPr>
        <w:pStyle w:val="Normal"/>
        <w:rPr/>
      </w:pPr>
      <w:r>
        <w:rPr/>
      </w:r>
    </w:p>
    <w:p>
      <w:pPr>
        <w:pStyle w:val="Normal"/>
        <w:rPr/>
      </w:pPr>
      <w:r>
        <w:rPr/>
        <w:t>11:15 – 11:30</w:t>
        <w:tab/>
        <w:tab/>
        <w:t>Break</w:t>
      </w:r>
    </w:p>
    <w:p>
      <w:pPr>
        <w:pStyle w:val="Normal"/>
        <w:rPr/>
      </w:pPr>
      <w:r>
        <w:rPr/>
      </w:r>
    </w:p>
    <w:p>
      <w:pPr>
        <w:pStyle w:val="Normal"/>
        <w:ind w:hanging="2160" w:start="2160" w:end="0"/>
        <w:rPr/>
      </w:pPr>
      <w:r>
        <w:rPr/>
        <w:t>11:30 – 12:30</w:t>
        <w:tab/>
      </w:r>
      <w:r>
        <w:rPr>
          <w:b/>
        </w:rPr>
        <w:t>Consumer products:</w:t>
      </w:r>
      <w:r>
        <w:rPr/>
        <w:t xml:space="preserve">  Weather risk in the consumer products industry.  Impact of  weather risk in the different consumer segments.  Challenges in the quantification of weather risk.  Product development and marketing challenges to the consumer sector.</w:t>
      </w:r>
    </w:p>
    <w:p>
      <w:pPr>
        <w:pStyle w:val="Normal"/>
        <w:ind w:firstLine="720" w:start="1440" w:end="0"/>
        <w:rPr/>
      </w:pPr>
      <w:r>
        <w:rPr/>
      </w:r>
    </w:p>
    <w:p>
      <w:pPr>
        <w:pStyle w:val="Normal"/>
        <w:rPr/>
      </w:pPr>
      <w:r>
        <w:rPr/>
        <w:t>12:30 – 1:30</w:t>
        <w:tab/>
        <w:tab/>
        <w:t>Lunch – Possible Bermuda Government Representative</w:t>
      </w:r>
    </w:p>
    <w:p>
      <w:pPr>
        <w:pStyle w:val="Normal"/>
        <w:rPr/>
      </w:pPr>
      <w:r>
        <w:rPr/>
      </w:r>
    </w:p>
    <w:p>
      <w:pPr>
        <w:pStyle w:val="Normal"/>
        <w:rPr/>
      </w:pPr>
      <w:r>
        <w:rPr/>
        <w:t>1:30 – 2:30</w:t>
        <w:tab/>
        <w:tab/>
      </w:r>
      <w:r>
        <w:rPr>
          <w:b/>
          <w:i/>
        </w:rPr>
        <w:t>Sourcing and cleaning climate data:  Methodologies, problems</w:t>
      </w:r>
    </w:p>
    <w:p>
      <w:pPr>
        <w:pStyle w:val="Normal"/>
        <w:rPr/>
      </w:pPr>
      <w:r>
        <w:rPr/>
        <w:tab/>
        <w:tab/>
        <w:tab/>
        <w:t>Invited Speakers</w:t>
      </w:r>
    </w:p>
    <w:p>
      <w:pPr>
        <w:pStyle w:val="Normal"/>
        <w:numPr>
          <w:ilvl w:val="0"/>
          <w:numId w:val="2"/>
        </w:numPr>
        <w:rPr/>
      </w:pPr>
      <w:r>
        <w:rPr/>
        <w:t xml:space="preserve">NCDC </w:t>
      </w:r>
    </w:p>
    <w:p>
      <w:pPr>
        <w:pStyle w:val="Normal"/>
        <w:numPr>
          <w:ilvl w:val="0"/>
          <w:numId w:val="2"/>
        </w:numPr>
        <w:rPr/>
      </w:pPr>
      <w:r>
        <w:rPr/>
        <w:t xml:space="preserve">UK Met Office </w:t>
      </w:r>
    </w:p>
    <w:p>
      <w:pPr>
        <w:pStyle w:val="Normal"/>
        <w:numPr>
          <w:ilvl w:val="0"/>
          <w:numId w:val="2"/>
        </w:numPr>
        <w:rPr/>
      </w:pPr>
      <w:r>
        <w:rPr/>
        <w:t xml:space="preserve">Harris </w:t>
      </w:r>
    </w:p>
    <w:p>
      <w:pPr>
        <w:pStyle w:val="Normal"/>
        <w:numPr>
          <w:ilvl w:val="0"/>
          <w:numId w:val="2"/>
        </w:numPr>
        <w:rPr/>
      </w:pPr>
      <w:r>
        <w:rPr/>
        <w:t xml:space="preserve">EarthSat Corporation  </w:t>
      </w:r>
    </w:p>
    <w:p>
      <w:pPr>
        <w:pStyle w:val="Normal"/>
        <w:numPr>
          <w:ilvl w:val="0"/>
          <w:numId w:val="2"/>
        </w:numPr>
        <w:rPr/>
      </w:pPr>
      <w:r>
        <w:rPr/>
        <w:t xml:space="preserve">RMS </w:t>
      </w:r>
    </w:p>
    <w:p>
      <w:pPr>
        <w:pStyle w:val="Normal"/>
        <w:rPr/>
      </w:pPr>
      <w:r>
        <w:rPr/>
      </w:r>
    </w:p>
    <w:p>
      <w:pPr>
        <w:pStyle w:val="Normal"/>
        <w:ind w:hanging="2160" w:start="2160" w:end="0"/>
        <w:rPr/>
      </w:pPr>
      <w:r>
        <w:rPr/>
        <w:t>2:30 – 3:30</w:t>
        <w:tab/>
      </w:r>
      <w:r>
        <w:rPr>
          <w:b/>
        </w:rPr>
        <w:t>Analyst, Banks and rating agency panel.</w:t>
      </w:r>
      <w:r>
        <w:rPr/>
        <w:t xml:space="preserve">  Weather risk and its impact on corporate earnings.  The hedging decision.  Are there benefits to shareholders.  Should weather hedges be treated as contingent equity?  Weather hedges and the lending decision.  </w:t>
      </w:r>
    </w:p>
    <w:p>
      <w:pPr>
        <w:pStyle w:val="Normal"/>
        <w:rPr/>
      </w:pPr>
      <w:r>
        <w:rPr/>
      </w:r>
    </w:p>
    <w:p>
      <w:pPr>
        <w:pStyle w:val="Normal"/>
        <w:rPr/>
      </w:pPr>
      <w:r>
        <w:rPr/>
        <w:t>3:30 – 3:45</w:t>
        <w:tab/>
        <w:tab/>
        <w:t>Break</w:t>
      </w:r>
    </w:p>
    <w:p>
      <w:pPr>
        <w:pStyle w:val="Normal"/>
        <w:rPr/>
      </w:pPr>
      <w:r>
        <w:rPr/>
      </w:r>
    </w:p>
    <w:p>
      <w:pPr>
        <w:pStyle w:val="Normal"/>
        <w:ind w:hanging="2160" w:start="2160" w:end="0"/>
        <w:rPr/>
      </w:pPr>
      <w:r>
        <w:rPr/>
        <w:t>3:45 – 4:45</w:t>
        <w:tab/>
      </w:r>
      <w:r>
        <w:rPr>
          <w:b/>
          <w:i/>
        </w:rPr>
        <w:t>Tax implications of weather hedging for end-users and market makers.  (Insurance Tax; Insurance vs. Derivative?)</w:t>
      </w:r>
    </w:p>
    <w:p>
      <w:pPr>
        <w:pStyle w:val="Normal"/>
        <w:ind w:firstLine="720" w:start="1440" w:end="0"/>
        <w:rPr/>
      </w:pPr>
      <w:r>
        <w:rPr/>
        <w:t>Andrea Kramer, McDermott, Will and Emery</w:t>
      </w:r>
    </w:p>
    <w:p>
      <w:pPr>
        <w:pStyle w:val="Normal"/>
        <w:rPr/>
      </w:pPr>
      <w:r>
        <w:rPr/>
      </w:r>
    </w:p>
    <w:p>
      <w:pPr>
        <w:pStyle w:val="Normal"/>
        <w:rPr/>
      </w:pPr>
      <w:r>
        <w:rPr/>
        <w:t>5:00</w:t>
        <w:tab/>
        <w:tab/>
        <w:t>Depart for Hamilton for Dinner Cruise</w:t>
      </w:r>
    </w:p>
    <w:p>
      <w:pPr>
        <w:pStyle w:val="Normal"/>
        <w:rPr/>
      </w:pPr>
      <w:r>
        <w:rPr/>
      </w:r>
    </w:p>
    <w:p>
      <w:pPr>
        <w:pStyle w:val="Normal"/>
        <w:rPr/>
      </w:pPr>
      <w:r>
        <w:rPr/>
        <w:t>6:00 – 10:00</w:t>
        <w:tab/>
        <w:t xml:space="preserve">Dinner Cruise – </w:t>
      </w:r>
      <w:r>
        <w:rPr>
          <w:i/>
        </w:rPr>
        <w:t>Sponsored by</w:t>
      </w:r>
      <w:r>
        <w:rPr/>
        <w:t>: Palladium, Tempest Re, Commercial Risk</w:t>
      </w:r>
    </w:p>
    <w:p>
      <w:pPr>
        <w:pStyle w:val="Normal"/>
        <w:rPr/>
      </w:pPr>
      <w:r>
        <w:rPr/>
      </w:r>
    </w:p>
    <w:p>
      <w:pPr>
        <w:pStyle w:val="Normal"/>
        <w:rPr/>
      </w:pPr>
      <w:r>
        <w:rPr/>
      </w:r>
    </w:p>
    <w:p>
      <w:pPr>
        <w:pStyle w:val="Heading1"/>
        <w:widowControl/>
        <w:ind w:hanging="0" w:start="0"/>
        <w:rPr/>
      </w:pPr>
      <w:r>
        <w:rPr/>
        <w:t>JUNE 9, 2000</w:t>
      </w:r>
    </w:p>
    <w:p>
      <w:pPr>
        <w:pStyle w:val="Normal"/>
        <w:rPr/>
      </w:pPr>
      <w:r>
        <w:rPr/>
        <w:t xml:space="preserve">8:00 – 8:30 </w:t>
        <w:tab/>
        <w:t>Continental Breakfast</w:t>
      </w:r>
    </w:p>
    <w:p>
      <w:pPr>
        <w:pStyle w:val="Normal"/>
        <w:rPr/>
      </w:pPr>
      <w:r>
        <w:rPr/>
      </w:r>
    </w:p>
    <w:p>
      <w:pPr>
        <w:pStyle w:val="Normal"/>
        <w:ind w:hanging="1440" w:start="1440" w:end="0"/>
        <w:rPr/>
      </w:pPr>
      <w:r>
        <w:rPr/>
        <w:t>8:30 – 9:30</w:t>
        <w:tab/>
      </w:r>
      <w:r>
        <w:rPr>
          <w:b/>
        </w:rPr>
        <w:t xml:space="preserve">Transportation:  </w:t>
      </w:r>
      <w:r>
        <w:rPr/>
        <w:t xml:space="preserve">Domestic and International Air Carriers.  Impact of Precipitation and Temperature on flight delays.  Weather risk in the transportation sector.  Quantification and hedging of weather risk.  Appropriate weather risk products for the transportation sector. </w:t>
      </w:r>
    </w:p>
    <w:p>
      <w:pPr>
        <w:pStyle w:val="Normal"/>
        <w:rPr/>
      </w:pPr>
      <w:r>
        <w:rPr/>
      </w:r>
    </w:p>
    <w:p>
      <w:pPr>
        <w:pStyle w:val="Normal"/>
        <w:ind w:hanging="1440" w:start="1440" w:end="0"/>
        <w:rPr/>
      </w:pPr>
      <w:r>
        <w:rPr/>
        <w:t>9:30 – 10:30</w:t>
        <w:tab/>
      </w:r>
      <w:r>
        <w:rPr>
          <w:b/>
          <w:i/>
        </w:rPr>
        <w:t>Accounting for Weather Derivatives:  Implications of FAS 133 and</w:t>
      </w:r>
      <w:r>
        <w:rPr/>
        <w:t xml:space="preserve"> </w:t>
      </w:r>
      <w:r>
        <w:rPr>
          <w:b/>
          <w:i/>
        </w:rPr>
        <w:t xml:space="preserve">EITF </w:t>
      </w:r>
      <w:r>
        <w:rPr/>
        <w:t>Andrea Kramer, McDermott, Will and Emery</w:t>
      </w:r>
    </w:p>
    <w:p>
      <w:pPr>
        <w:pStyle w:val="Normal"/>
        <w:rPr/>
      </w:pPr>
      <w:r>
        <w:rPr/>
      </w:r>
    </w:p>
    <w:p>
      <w:pPr>
        <w:pStyle w:val="Normal"/>
        <w:rPr/>
      </w:pPr>
      <w:r>
        <w:rPr/>
        <w:t>10:30 – 10:45</w:t>
        <w:tab/>
        <w:t>Break</w:t>
      </w:r>
    </w:p>
    <w:p>
      <w:pPr>
        <w:pStyle w:val="Normal"/>
        <w:rPr/>
      </w:pPr>
      <w:r>
        <w:rPr/>
      </w:r>
    </w:p>
    <w:p>
      <w:pPr>
        <w:pStyle w:val="Normal"/>
        <w:ind w:hanging="1440" w:start="1440" w:end="0"/>
        <w:rPr/>
      </w:pPr>
      <w:r>
        <w:rPr/>
        <w:t>10:45 – 11:45</w:t>
        <w:tab/>
      </w:r>
      <w:r>
        <w:rPr>
          <w:b/>
        </w:rPr>
        <w:t xml:space="preserve">Energy:  </w:t>
      </w:r>
      <w:r>
        <w:rPr/>
        <w:t xml:space="preserve">Experiences of those who hedged this winter.  Include counter-views of those who did not hedge.  Arguments for and against hedging weather risk.  Description of analytical steps in the decision process.  </w:t>
      </w:r>
    </w:p>
    <w:p>
      <w:pPr>
        <w:pStyle w:val="Normal"/>
        <w:ind w:firstLine="720" w:start="720" w:end="0"/>
        <w:rPr/>
      </w:pPr>
      <w:r>
        <w:rPr/>
        <w:t xml:space="preserve">Recommended Speakers (WRMA contacts) :  </w:t>
      </w:r>
    </w:p>
    <w:p>
      <w:pPr>
        <w:pStyle w:val="Normal"/>
        <w:ind w:firstLine="720" w:start="720" w:end="0"/>
        <w:rPr/>
      </w:pPr>
      <w:r>
        <w:rPr>
          <w:i/>
        </w:rPr>
        <w:t>MODERATED BY</w:t>
      </w:r>
      <w:r>
        <w:rPr/>
        <w:t>: Lynda Clemmons</w:t>
      </w:r>
    </w:p>
    <w:p>
      <w:pPr>
        <w:pStyle w:val="Normal"/>
        <w:rPr/>
      </w:pPr>
      <w:r>
        <w:rPr/>
      </w:r>
    </w:p>
    <w:p>
      <w:pPr>
        <w:pStyle w:val="Normal"/>
        <w:rPr/>
      </w:pPr>
      <w:r>
        <w:rPr/>
        <w:t>11:45 – 12:00</w:t>
        <w:tab/>
        <w:t>Closing Remarks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2520" w:hanging="360"/>
      </w:pPr>
      <w:rPr>
        <w:sz w:val="20"/>
      </w:rPr>
    </w:lvl>
  </w:abstractNum>
  <w:abstractNum w:abstractNumId="3">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sz w:val="44"/>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St1z0">
    <w:name w:val="WW8NumSt1z0"/>
    <w:qFormat/>
    <w:rPr>
      <w:rFonts w:ascii="Symbol" w:hAnsi="Symbol" w:cs="Symbol"/>
    </w:rPr>
  </w:style>
  <w:style w:type="character" w:styleId="WW8NumSt3z0">
    <w:name w:val="WW8NumSt3z0"/>
    <w:qFormat/>
    <w:rPr>
      <w:sz w:val="20"/>
    </w:rPr>
  </w:style>
  <w:style w:type="character" w:styleId="WW8NumSt5z0">
    <w:name w:val="WW8NumSt5z0"/>
    <w:qFormat/>
    <w:rPr>
      <w:sz w:val="20"/>
    </w:rPr>
  </w:style>
  <w:style w:type="character" w:styleId="WW8NumSt7z0">
    <w:name w:val="WW8NumSt7z0"/>
    <w:qFormat/>
    <w:rPr>
      <w:sz w:val="20"/>
    </w:rPr>
  </w:style>
  <w:style w:type="character" w:styleId="WW8NumSt9z0">
    <w:name w:val="WW8NumSt9z0"/>
    <w:qFormat/>
    <w:rPr>
      <w:sz w:val="20"/>
    </w:rPr>
  </w:style>
  <w:style w:type="character" w:styleId="WW8NumSt13z0">
    <w:name w:val="WW8NumSt13z0"/>
    <w:qFormat/>
    <w:rPr>
      <w:sz w:val="20"/>
    </w:rPr>
  </w:style>
  <w:style w:type="character" w:styleId="WW8NumSt15z0">
    <w:name w:val="WW8NumSt15z0"/>
    <w:qFormat/>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2000-04-27T19:53:00Z</dcterms:created>
  <dc:creator>RGM</dc:creator>
  <dc:description/>
  <dc:language>en-CA</dc:language>
  <cp:lastModifiedBy>Lucy Ortiz</cp:lastModifiedBy>
  <dcterms:modified xsi:type="dcterms:W3CDTF">2000-04-27T19:53:00Z</dcterms:modified>
  <cp:revision>2</cp:revision>
  <dc:subject/>
  <dc:title>WRMA SECOND ANNUAL CONVENTION …Looking at the impact of weather on the global end-user enterprise risk with emphasis on optimal hedging strategies</dc:title>
</cp:coreProperties>
</file>