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Financially Settled Monthly Diesel Swap</w:t>
      </w:r>
    </w:p>
    <w:p>
      <w:pPr>
        <w:pStyle w:val="Heading"/>
        <w:rPr/>
      </w:pPr>
      <w:r>
        <w:rPr/>
        <w:t>Between Enron North America and WPS Energy</w:t>
      </w:r>
    </w:p>
    <w:p>
      <w:pPr>
        <w:pStyle w:val="Normal"/>
        <w:jc w:val="both"/>
        <w:rPr>
          <w:sz w:val="20"/>
        </w:rPr>
      </w:pPr>
      <w:r>
        <w:rPr>
          <w:sz w:val="20"/>
        </w:rPr>
      </w:r>
    </w:p>
    <w:p>
      <w:pPr>
        <w:pStyle w:val="Normal"/>
        <w:jc w:val="both"/>
        <w:rPr>
          <w:sz w:val="20"/>
        </w:rPr>
      </w:pPr>
      <w:r>
        <w:rPr>
          <w:sz w:val="20"/>
        </w:rPr>
        <w:t xml:space="preserve">This proposal describes a transaction in which ENA sells a financial swap to WPS Energy.  Buyer shall pay the Fixed Price and Seller shall pay the Floating Price.  These payments may be netted against one another.  This is a purely financial transaction; there is no exchange of the Commodity.  </w:t>
      </w:r>
    </w:p>
    <w:p>
      <w:pPr>
        <w:pStyle w:val="Normal"/>
        <w:jc w:val="both"/>
        <w:rPr>
          <w:sz w:val="20"/>
        </w:rPr>
      </w:pPr>
      <w:r>
        <w:rPr>
          <w:sz w:val="20"/>
        </w:rPr>
      </w:r>
    </w:p>
    <w:p>
      <w:pPr>
        <w:pStyle w:val="Normal"/>
        <w:jc w:val="both"/>
        <w:rPr>
          <w:sz w:val="20"/>
        </w:rPr>
      </w:pPr>
      <w:r>
        <w:rPr>
          <w:sz w:val="20"/>
        </w:rPr>
        <w:t>Buyer:</w:t>
        <w:tab/>
        <w:tab/>
        <w:tab/>
        <w:t>WPS Energy</w:t>
      </w:r>
    </w:p>
    <w:p>
      <w:pPr>
        <w:pStyle w:val="Normal"/>
        <w:jc w:val="both"/>
        <w:rPr>
          <w:sz w:val="20"/>
        </w:rPr>
      </w:pPr>
      <w:r>
        <w:rPr>
          <w:sz w:val="20"/>
        </w:rPr>
      </w:r>
    </w:p>
    <w:p>
      <w:pPr>
        <w:pStyle w:val="Normal"/>
        <w:jc w:val="both"/>
        <w:rPr>
          <w:sz w:val="20"/>
        </w:rPr>
      </w:pPr>
      <w:r>
        <w:rPr>
          <w:sz w:val="20"/>
        </w:rPr>
        <w:t>Seller:</w:t>
        <w:tab/>
        <w:tab/>
        <w:tab/>
        <w:t>Enron North America</w:t>
      </w:r>
    </w:p>
    <w:p>
      <w:pPr>
        <w:pStyle w:val="Normal"/>
        <w:jc w:val="both"/>
        <w:rPr>
          <w:sz w:val="20"/>
        </w:rPr>
      </w:pPr>
      <w:r>
        <w:rPr>
          <w:sz w:val="20"/>
        </w:rPr>
      </w:r>
    </w:p>
    <w:p>
      <w:pPr>
        <w:pStyle w:val="Normal"/>
        <w:jc w:val="both"/>
        <w:rPr>
          <w:sz w:val="20"/>
        </w:rPr>
      </w:pPr>
      <w:r>
        <w:rPr>
          <w:sz w:val="20"/>
        </w:rPr>
        <w:t>Term:</w:t>
        <w:tab/>
        <w:tab/>
        <w:tab/>
        <w:t>January 1, 2002 through June 30, 2002</w:t>
      </w:r>
    </w:p>
    <w:p>
      <w:pPr>
        <w:pStyle w:val="Normal"/>
        <w:jc w:val="both"/>
        <w:rPr>
          <w:sz w:val="20"/>
        </w:rPr>
      </w:pPr>
      <w:r>
        <w:rPr>
          <w:sz w:val="20"/>
        </w:rPr>
      </w:r>
    </w:p>
    <w:p>
      <w:pPr>
        <w:pStyle w:val="Normal"/>
        <w:jc w:val="both"/>
        <w:rPr>
          <w:sz w:val="20"/>
        </w:rPr>
      </w:pPr>
      <w:r>
        <w:rPr>
          <w:sz w:val="20"/>
        </w:rPr>
        <w:t>Settlement Period:</w:t>
        <w:tab/>
        <w:t>Monthly</w:t>
      </w:r>
    </w:p>
    <w:p>
      <w:pPr>
        <w:pStyle w:val="Normal"/>
        <w:jc w:val="both"/>
        <w:rPr/>
      </w:pPr>
      <w:r>
        <w:rPr/>
      </w:r>
    </w:p>
    <w:p>
      <w:pPr>
        <w:pStyle w:val="BodyText"/>
        <w:rPr/>
      </w:pPr>
      <w:r>
        <w:rPr/>
        <w:t>Monthly Quantity:</w:t>
        <w:tab/>
        <w:t>357,000 gallons per month</w:t>
      </w:r>
    </w:p>
    <w:p>
      <w:pPr>
        <w:pStyle w:val="Normal"/>
        <w:ind w:hanging="1425" w:start="1425" w:end="0"/>
        <w:jc w:val="both"/>
        <w:rPr>
          <w:sz w:val="20"/>
        </w:rPr>
      </w:pPr>
      <w:r>
        <w:rPr>
          <w:sz w:val="20"/>
        </w:rPr>
      </w:r>
    </w:p>
    <w:p>
      <w:pPr>
        <w:pStyle w:val="Normal"/>
        <w:ind w:hanging="1425" w:start="1425" w:end="0"/>
        <w:jc w:val="both"/>
        <w:rPr>
          <w:sz w:val="20"/>
        </w:rPr>
      </w:pPr>
      <w:r>
        <w:rPr>
          <w:sz w:val="20"/>
        </w:rPr>
        <w:t>Commodity:</w:t>
        <w:tab/>
        <w:tab/>
        <w:tab/>
        <w:t>Diesel Fuel</w:t>
      </w:r>
    </w:p>
    <w:p>
      <w:pPr>
        <w:pStyle w:val="Normal"/>
        <w:ind w:hanging="1425" w:start="1425" w:end="0"/>
        <w:jc w:val="both"/>
        <w:rPr>
          <w:sz w:val="20"/>
        </w:rPr>
      </w:pPr>
      <w:r>
        <w:rPr>
          <w:sz w:val="20"/>
        </w:rPr>
      </w:r>
    </w:p>
    <w:p>
      <w:pPr>
        <w:pStyle w:val="Normal"/>
        <w:ind w:hanging="1425" w:start="1425" w:end="0"/>
        <w:jc w:val="both"/>
        <w:rPr>
          <w:sz w:val="20"/>
        </w:rPr>
      </w:pPr>
      <w:r>
        <w:rPr>
          <w:sz w:val="20"/>
        </w:rPr>
        <w:t>Transaction Type:</w:t>
        <w:tab/>
        <w:t>Financial</w:t>
      </w:r>
    </w:p>
    <w:p>
      <w:pPr>
        <w:pStyle w:val="Normal"/>
        <w:ind w:hanging="1425" w:start="1425" w:end="0"/>
        <w:jc w:val="both"/>
        <w:rPr>
          <w:sz w:val="20"/>
        </w:rPr>
      </w:pPr>
      <w:r>
        <w:rPr>
          <w:sz w:val="20"/>
        </w:rPr>
      </w:r>
    </w:p>
    <w:p>
      <w:pPr>
        <w:pStyle w:val="Normal"/>
        <w:ind w:hanging="1425" w:start="1425" w:end="0"/>
        <w:jc w:val="both"/>
        <w:rPr>
          <w:sz w:val="20"/>
        </w:rPr>
      </w:pPr>
      <w:r>
        <w:rPr>
          <w:sz w:val="20"/>
        </w:rPr>
        <w:t>Floating Price:</w:t>
        <w:tab/>
        <w:tab/>
        <w:tab/>
        <w:t>DOE National Average Index</w:t>
      </w:r>
    </w:p>
    <w:p>
      <w:pPr>
        <w:pStyle w:val="Normal"/>
        <w:ind w:hanging="1425" w:start="1425" w:end="0"/>
        <w:jc w:val="both"/>
        <w:rPr>
          <w:sz w:val="20"/>
        </w:rPr>
      </w:pPr>
      <w:r>
        <w:rPr>
          <w:sz w:val="20"/>
        </w:rPr>
      </w:r>
    </w:p>
    <w:p>
      <w:pPr>
        <w:pStyle w:val="Normal"/>
        <w:ind w:hanging="1425" w:start="1425" w:end="0"/>
        <w:jc w:val="both"/>
        <w:rPr>
          <w:sz w:val="20"/>
        </w:rPr>
      </w:pPr>
      <w:r>
        <w:rPr>
          <w:sz w:val="20"/>
        </w:rPr>
        <w:t>Fixed Price:</w:t>
        <w:tab/>
      </w:r>
    </w:p>
    <w:tbl>
      <w:tblPr>
        <w:tblW w:w="4400" w:type="dxa"/>
        <w:jc w:val="start"/>
        <w:tblInd w:w="2283" w:type="dxa"/>
        <w:tblLayout w:type="fixed"/>
        <w:tblCellMar>
          <w:top w:w="0" w:type="dxa"/>
          <w:start w:w="108" w:type="dxa"/>
          <w:bottom w:w="0" w:type="dxa"/>
          <w:end w:w="108" w:type="dxa"/>
        </w:tblCellMar>
      </w:tblPr>
      <w:tblGrid>
        <w:gridCol w:w="1200"/>
        <w:gridCol w:w="3200"/>
      </w:tblGrid>
      <w:tr>
        <w:trPr/>
        <w:tc>
          <w:tcPr>
            <w:tcW w:w="1200" w:type="dxa"/>
            <w:tcBorders>
              <w:top w:val="single" w:sz="4" w:space="0" w:color="000000"/>
              <w:start w:val="single" w:sz="4" w:space="0" w:color="000000"/>
              <w:bottom w:val="single" w:sz="4" w:space="0" w:color="000000"/>
              <w:end w:val="single" w:sz="4" w:space="0" w:color="000000"/>
            </w:tcBorders>
          </w:tcPr>
          <w:p>
            <w:pPr>
              <w:pStyle w:val="Normal"/>
              <w:jc w:val="both"/>
              <w:rPr>
                <w:sz w:val="20"/>
              </w:rPr>
            </w:pPr>
            <w:r>
              <w:rPr>
                <w:sz w:val="20"/>
              </w:rPr>
              <w:t>Term</w:t>
            </w:r>
          </w:p>
        </w:tc>
        <w:tc>
          <w:tcPr>
            <w:tcW w:w="3200" w:type="dxa"/>
            <w:tcBorders>
              <w:top w:val="single" w:sz="4" w:space="0" w:color="000000"/>
              <w:start w:val="single" w:sz="4" w:space="0" w:color="000000"/>
              <w:bottom w:val="single" w:sz="4" w:space="0" w:color="000000"/>
              <w:end w:val="single" w:sz="4" w:space="0" w:color="000000"/>
            </w:tcBorders>
          </w:tcPr>
          <w:p>
            <w:pPr>
              <w:pStyle w:val="Normal"/>
              <w:jc w:val="both"/>
              <w:rPr>
                <w:sz w:val="20"/>
              </w:rPr>
            </w:pPr>
            <w:r>
              <w:rPr>
                <w:sz w:val="20"/>
              </w:rPr>
              <w:t>Fixed Price Per Gallon (Indicative)</w:t>
            </w:r>
          </w:p>
        </w:tc>
      </w:tr>
      <w:tr>
        <w:trPr/>
        <w:tc>
          <w:tcPr>
            <w:tcW w:w="1200" w:type="dxa"/>
            <w:tcBorders>
              <w:top w:val="single" w:sz="4" w:space="0" w:color="000000"/>
              <w:start w:val="single" w:sz="4" w:space="0" w:color="000000"/>
              <w:bottom w:val="single" w:sz="4" w:space="0" w:color="000000"/>
              <w:end w:val="single" w:sz="4" w:space="0" w:color="000000"/>
            </w:tcBorders>
          </w:tcPr>
          <w:p>
            <w:pPr>
              <w:pStyle w:val="Normal"/>
              <w:jc w:val="both"/>
              <w:rPr>
                <w:sz w:val="20"/>
              </w:rPr>
            </w:pPr>
            <w:r>
              <w:rPr>
                <w:sz w:val="20"/>
              </w:rPr>
              <w:t>Jan 02</w:t>
            </w:r>
          </w:p>
        </w:tc>
        <w:tc>
          <w:tcPr>
            <w:tcW w:w="3200" w:type="dxa"/>
            <w:tcBorders>
              <w:top w:val="single" w:sz="4" w:space="0" w:color="000000"/>
              <w:start w:val="single" w:sz="4" w:space="0" w:color="000000"/>
              <w:bottom w:val="single" w:sz="4" w:space="0" w:color="000000"/>
              <w:end w:val="single" w:sz="4" w:space="0" w:color="000000"/>
            </w:tcBorders>
          </w:tcPr>
          <w:p>
            <w:pPr>
              <w:pStyle w:val="Normal"/>
              <w:jc w:val="both"/>
              <w:rPr>
                <w:sz w:val="20"/>
              </w:rPr>
            </w:pPr>
            <w:r>
              <w:rPr>
                <w:sz w:val="20"/>
              </w:rPr>
              <w:t>$1.5100 plus any Tax Adjustments</w:t>
            </w:r>
          </w:p>
        </w:tc>
      </w:tr>
      <w:tr>
        <w:trPr/>
        <w:tc>
          <w:tcPr>
            <w:tcW w:w="1200" w:type="dxa"/>
            <w:tcBorders>
              <w:top w:val="single" w:sz="4" w:space="0" w:color="000000"/>
              <w:start w:val="single" w:sz="4" w:space="0" w:color="000000"/>
              <w:bottom w:val="single" w:sz="4" w:space="0" w:color="000000"/>
              <w:end w:val="single" w:sz="4" w:space="0" w:color="000000"/>
            </w:tcBorders>
          </w:tcPr>
          <w:p>
            <w:pPr>
              <w:pStyle w:val="Normal"/>
              <w:jc w:val="both"/>
              <w:rPr>
                <w:sz w:val="20"/>
              </w:rPr>
            </w:pPr>
            <w:r>
              <w:rPr>
                <w:sz w:val="20"/>
              </w:rPr>
              <w:t>Feb 02</w:t>
            </w:r>
          </w:p>
        </w:tc>
        <w:tc>
          <w:tcPr>
            <w:tcW w:w="3200" w:type="dxa"/>
            <w:tcBorders>
              <w:top w:val="single" w:sz="4" w:space="0" w:color="000000"/>
              <w:start w:val="single" w:sz="4" w:space="0" w:color="000000"/>
              <w:bottom w:val="single" w:sz="4" w:space="0" w:color="000000"/>
              <w:end w:val="single" w:sz="4" w:space="0" w:color="000000"/>
            </w:tcBorders>
          </w:tcPr>
          <w:p>
            <w:pPr>
              <w:pStyle w:val="Normal"/>
              <w:jc w:val="both"/>
              <w:rPr>
                <w:sz w:val="20"/>
              </w:rPr>
            </w:pPr>
            <w:r>
              <w:rPr>
                <w:sz w:val="20"/>
              </w:rPr>
              <w:t>$1.5033 plus any Tax Adjustments</w:t>
            </w:r>
          </w:p>
        </w:tc>
      </w:tr>
      <w:tr>
        <w:trPr/>
        <w:tc>
          <w:tcPr>
            <w:tcW w:w="1200" w:type="dxa"/>
            <w:tcBorders>
              <w:top w:val="single" w:sz="4" w:space="0" w:color="000000"/>
              <w:start w:val="single" w:sz="4" w:space="0" w:color="000000"/>
              <w:bottom w:val="single" w:sz="4" w:space="0" w:color="000000"/>
              <w:end w:val="single" w:sz="4" w:space="0" w:color="000000"/>
            </w:tcBorders>
          </w:tcPr>
          <w:p>
            <w:pPr>
              <w:pStyle w:val="Normal"/>
              <w:jc w:val="both"/>
              <w:rPr>
                <w:sz w:val="20"/>
              </w:rPr>
            </w:pPr>
            <w:r>
              <w:rPr>
                <w:sz w:val="20"/>
              </w:rPr>
              <w:t>Mar 02</w:t>
            </w:r>
          </w:p>
        </w:tc>
        <w:tc>
          <w:tcPr>
            <w:tcW w:w="3200" w:type="dxa"/>
            <w:tcBorders>
              <w:top w:val="single" w:sz="4" w:space="0" w:color="000000"/>
              <w:start w:val="single" w:sz="4" w:space="0" w:color="000000"/>
              <w:bottom w:val="single" w:sz="4" w:space="0" w:color="000000"/>
              <w:end w:val="single" w:sz="4" w:space="0" w:color="000000"/>
            </w:tcBorders>
          </w:tcPr>
          <w:p>
            <w:pPr>
              <w:pStyle w:val="Normal"/>
              <w:jc w:val="both"/>
              <w:rPr>
                <w:sz w:val="20"/>
              </w:rPr>
            </w:pPr>
            <w:r>
              <w:rPr>
                <w:sz w:val="20"/>
              </w:rPr>
              <w:t>$1.4908 plus any Tax Adjustments</w:t>
            </w:r>
          </w:p>
        </w:tc>
      </w:tr>
      <w:tr>
        <w:trPr/>
        <w:tc>
          <w:tcPr>
            <w:tcW w:w="1200" w:type="dxa"/>
            <w:tcBorders>
              <w:top w:val="single" w:sz="4" w:space="0" w:color="000000"/>
              <w:start w:val="single" w:sz="4" w:space="0" w:color="000000"/>
              <w:bottom w:val="single" w:sz="4" w:space="0" w:color="000000"/>
              <w:end w:val="single" w:sz="4" w:space="0" w:color="000000"/>
            </w:tcBorders>
          </w:tcPr>
          <w:p>
            <w:pPr>
              <w:pStyle w:val="Normal"/>
              <w:jc w:val="both"/>
              <w:rPr>
                <w:sz w:val="20"/>
              </w:rPr>
            </w:pPr>
            <w:r>
              <w:rPr>
                <w:sz w:val="20"/>
              </w:rPr>
              <w:t>Apr 02</w:t>
            </w:r>
          </w:p>
        </w:tc>
        <w:tc>
          <w:tcPr>
            <w:tcW w:w="3200" w:type="dxa"/>
            <w:tcBorders>
              <w:top w:val="single" w:sz="4" w:space="0" w:color="000000"/>
              <w:start w:val="single" w:sz="4" w:space="0" w:color="000000"/>
              <w:bottom w:val="single" w:sz="4" w:space="0" w:color="000000"/>
              <w:end w:val="single" w:sz="4" w:space="0" w:color="000000"/>
            </w:tcBorders>
          </w:tcPr>
          <w:p>
            <w:pPr>
              <w:pStyle w:val="Normal"/>
              <w:jc w:val="both"/>
              <w:rPr>
                <w:sz w:val="20"/>
              </w:rPr>
            </w:pPr>
            <w:r>
              <w:rPr>
                <w:sz w:val="20"/>
              </w:rPr>
              <w:t>$1.4761 plus any Tax Adjustments</w:t>
            </w:r>
          </w:p>
        </w:tc>
      </w:tr>
      <w:tr>
        <w:trPr/>
        <w:tc>
          <w:tcPr>
            <w:tcW w:w="1200" w:type="dxa"/>
            <w:tcBorders>
              <w:top w:val="single" w:sz="4" w:space="0" w:color="000000"/>
              <w:start w:val="single" w:sz="4" w:space="0" w:color="000000"/>
              <w:bottom w:val="single" w:sz="4" w:space="0" w:color="000000"/>
              <w:end w:val="single" w:sz="4" w:space="0" w:color="000000"/>
            </w:tcBorders>
          </w:tcPr>
          <w:p>
            <w:pPr>
              <w:pStyle w:val="Normal"/>
              <w:jc w:val="both"/>
              <w:rPr>
                <w:sz w:val="20"/>
              </w:rPr>
            </w:pPr>
            <w:r>
              <w:rPr>
                <w:sz w:val="20"/>
              </w:rPr>
              <w:t>May 02</w:t>
            </w:r>
          </w:p>
        </w:tc>
        <w:tc>
          <w:tcPr>
            <w:tcW w:w="3200" w:type="dxa"/>
            <w:tcBorders>
              <w:top w:val="single" w:sz="4" w:space="0" w:color="000000"/>
              <w:start w:val="single" w:sz="4" w:space="0" w:color="000000"/>
              <w:bottom w:val="single" w:sz="4" w:space="0" w:color="000000"/>
              <w:end w:val="single" w:sz="4" w:space="0" w:color="000000"/>
            </w:tcBorders>
          </w:tcPr>
          <w:p>
            <w:pPr>
              <w:pStyle w:val="Normal"/>
              <w:jc w:val="both"/>
              <w:rPr>
                <w:sz w:val="20"/>
              </w:rPr>
            </w:pPr>
            <w:r>
              <w:rPr>
                <w:sz w:val="20"/>
              </w:rPr>
              <w:t>$1.4663 plus any Tax Adjustments</w:t>
            </w:r>
          </w:p>
        </w:tc>
      </w:tr>
      <w:tr>
        <w:trPr/>
        <w:tc>
          <w:tcPr>
            <w:tcW w:w="1200" w:type="dxa"/>
            <w:tcBorders>
              <w:top w:val="single" w:sz="4" w:space="0" w:color="000000"/>
              <w:start w:val="single" w:sz="4" w:space="0" w:color="000000"/>
              <w:bottom w:val="single" w:sz="4" w:space="0" w:color="000000"/>
              <w:end w:val="single" w:sz="4" w:space="0" w:color="000000"/>
            </w:tcBorders>
          </w:tcPr>
          <w:p>
            <w:pPr>
              <w:pStyle w:val="Normal"/>
              <w:jc w:val="both"/>
              <w:rPr>
                <w:sz w:val="20"/>
              </w:rPr>
            </w:pPr>
            <w:r>
              <w:rPr>
                <w:sz w:val="20"/>
              </w:rPr>
              <w:t>Jun 02</w:t>
            </w:r>
          </w:p>
        </w:tc>
        <w:tc>
          <w:tcPr>
            <w:tcW w:w="3200" w:type="dxa"/>
            <w:tcBorders>
              <w:top w:val="single" w:sz="4" w:space="0" w:color="000000"/>
              <w:start w:val="single" w:sz="4" w:space="0" w:color="000000"/>
              <w:bottom w:val="single" w:sz="4" w:space="0" w:color="000000"/>
              <w:end w:val="single" w:sz="4" w:space="0" w:color="000000"/>
            </w:tcBorders>
          </w:tcPr>
          <w:p>
            <w:pPr>
              <w:pStyle w:val="Normal"/>
              <w:jc w:val="both"/>
              <w:rPr>
                <w:sz w:val="20"/>
              </w:rPr>
            </w:pPr>
            <w:r>
              <w:rPr>
                <w:sz w:val="20"/>
              </w:rPr>
              <w:t>$1.4633 plus any Tax Adjustments</w:t>
            </w:r>
          </w:p>
        </w:tc>
      </w:tr>
    </w:tbl>
    <w:p>
      <w:pPr>
        <w:pStyle w:val="Normal"/>
        <w:ind w:hanging="1425" w:start="1425" w:end="0"/>
        <w:jc w:val="both"/>
        <w:rPr>
          <w:sz w:val="20"/>
        </w:rPr>
      </w:pPr>
      <w:r>
        <w:rPr>
          <w:sz w:val="20"/>
        </w:rPr>
      </w:r>
    </w:p>
    <w:p>
      <w:pPr>
        <w:pStyle w:val="Normal"/>
        <w:ind w:hanging="1425" w:start="1425" w:end="0"/>
        <w:jc w:val="both"/>
        <w:rPr>
          <w:sz w:val="20"/>
        </w:rPr>
      </w:pPr>
      <w:r>
        <w:rPr>
          <w:sz w:val="20"/>
        </w:rPr>
        <w:t>“</w:t>
      </w:r>
      <w:r>
        <w:rPr>
          <w:sz w:val="20"/>
        </w:rPr>
        <w:t>Determination Period” means each calendar month during the term.</w:t>
      </w:r>
    </w:p>
    <w:p>
      <w:pPr>
        <w:pStyle w:val="Normal"/>
        <w:ind w:hanging="1425" w:start="1425" w:end="0"/>
        <w:jc w:val="both"/>
        <w:rPr>
          <w:sz w:val="20"/>
        </w:rPr>
      </w:pPr>
      <w:r>
        <w:rPr>
          <w:sz w:val="20"/>
        </w:rPr>
      </w:r>
    </w:p>
    <w:p>
      <w:pPr>
        <w:pStyle w:val="Normal"/>
        <w:ind w:hanging="1425" w:start="1425" w:end="0"/>
        <w:jc w:val="both"/>
        <w:rPr>
          <w:sz w:val="20"/>
        </w:rPr>
      </w:pPr>
      <w:r>
        <w:rPr>
          <w:sz w:val="20"/>
        </w:rPr>
        <w:t>“</w:t>
      </w:r>
      <w:r>
        <w:rPr>
          <w:sz w:val="20"/>
        </w:rPr>
        <w:t>DOE National Average Index” means the sum of the Daily Prices for each day of the Determination Period divided by the number of days in the Determination Period.</w:t>
      </w:r>
    </w:p>
    <w:p>
      <w:pPr>
        <w:pStyle w:val="Normal"/>
        <w:ind w:hanging="1425" w:start="1425" w:end="0"/>
        <w:jc w:val="both"/>
        <w:rPr>
          <w:sz w:val="20"/>
        </w:rPr>
      </w:pPr>
      <w:r>
        <w:rPr>
          <w:sz w:val="20"/>
        </w:rPr>
      </w:r>
    </w:p>
    <w:p>
      <w:pPr>
        <w:pStyle w:val="Normal"/>
        <w:ind w:hanging="1425" w:start="1425" w:end="0"/>
        <w:jc w:val="both"/>
        <w:rPr>
          <w:sz w:val="20"/>
        </w:rPr>
      </w:pPr>
      <w:r>
        <w:rPr>
          <w:sz w:val="20"/>
        </w:rPr>
        <w:t>“</w:t>
      </w:r>
      <w:r>
        <w:rPr>
          <w:sz w:val="20"/>
        </w:rPr>
        <w:t>Daily Price” means for each day of a week beginning on Monday and ending on Sunday, the DOE Weekly Index Price published on the first Business Day of such week.</w:t>
      </w:r>
    </w:p>
    <w:p>
      <w:pPr>
        <w:pStyle w:val="Normal"/>
        <w:ind w:hanging="1425" w:start="1425" w:end="0"/>
        <w:jc w:val="both"/>
        <w:rPr>
          <w:sz w:val="20"/>
        </w:rPr>
      </w:pPr>
      <w:r>
        <w:rPr>
          <w:sz w:val="20"/>
        </w:rPr>
        <w:t xml:space="preserve"> </w:t>
      </w:r>
    </w:p>
    <w:p>
      <w:pPr>
        <w:pStyle w:val="Normal"/>
        <w:ind w:hanging="1425" w:start="1425" w:end="0"/>
        <w:jc w:val="both"/>
        <w:rPr>
          <w:sz w:val="20"/>
        </w:rPr>
      </w:pPr>
      <w:r>
        <w:rPr>
          <w:sz w:val="20"/>
        </w:rPr>
        <w:t>“</w:t>
      </w:r>
      <w:r>
        <w:rPr>
          <w:sz w:val="20"/>
        </w:rPr>
        <w:t>DOE Weekly Index Price” means the price published by the Energy Information Administration (“EIA”) of the U.S. Department of Energy on the EIA’s official website under the heading “National U.S. Average” for EIA Retail On-Highway Diesel Fuel.</w:t>
      </w:r>
    </w:p>
    <w:p>
      <w:pPr>
        <w:pStyle w:val="Normal"/>
        <w:ind w:hanging="1425" w:start="1425" w:end="0"/>
        <w:jc w:val="both"/>
        <w:rPr>
          <w:sz w:val="20"/>
        </w:rPr>
      </w:pPr>
      <w:r>
        <w:rPr>
          <w:sz w:val="20"/>
        </w:rPr>
      </w:r>
    </w:p>
    <w:p>
      <w:pPr>
        <w:pStyle w:val="Normal"/>
        <w:ind w:hanging="1425" w:start="1425" w:end="0"/>
        <w:jc w:val="both"/>
        <w:rPr>
          <w:sz w:val="20"/>
        </w:rPr>
      </w:pPr>
      <w:r>
        <w:rPr>
          <w:sz w:val="20"/>
        </w:rPr>
        <w:t>“</w:t>
      </w:r>
      <w:r>
        <w:rPr>
          <w:sz w:val="20"/>
        </w:rPr>
        <w:t>Tax Adjustments” means, with respect to a Determination Period, (i) the Federal Diesel Tax Rate in effect on the last day of the Determination Period, minus (ii) the Federal Diesel Tax Rate in effect on the first day of the Determination Period.</w:t>
      </w:r>
    </w:p>
    <w:p>
      <w:pPr>
        <w:pStyle w:val="Normal"/>
        <w:ind w:hanging="1425" w:start="1425" w:end="0"/>
        <w:jc w:val="both"/>
        <w:rPr>
          <w:sz w:val="20"/>
        </w:rPr>
      </w:pPr>
      <w:r>
        <w:rPr>
          <w:sz w:val="20"/>
        </w:rPr>
      </w:r>
    </w:p>
    <w:p>
      <w:pPr>
        <w:pStyle w:val="Normal"/>
        <w:ind w:hanging="1425" w:start="1425" w:end="0"/>
        <w:jc w:val="both"/>
        <w:rPr>
          <w:sz w:val="20"/>
        </w:rPr>
      </w:pPr>
      <w:r>
        <w:rPr>
          <w:sz w:val="20"/>
        </w:rPr>
        <w:t>“</w:t>
      </w:r>
      <w:r>
        <w:rPr>
          <w:sz w:val="20"/>
        </w:rPr>
        <w:t>Federal Diesel Tax Rate” means the amount per gallon of Diesel Fuel of sales tax imposed by the U.S. federal government pursuant to 26 U.S.C. §4081 (or any successor provision thereto).</w:t>
      </w:r>
    </w:p>
    <w:p>
      <w:pPr>
        <w:pStyle w:val="Normal"/>
        <w:jc w:val="both"/>
        <w:rPr>
          <w:i/>
          <w:i/>
          <w:sz w:val="20"/>
        </w:rPr>
      </w:pPr>
      <w:r>
        <w:rPr>
          <w:i/>
          <w:sz w:val="20"/>
        </w:rPr>
      </w:r>
    </w:p>
    <w:p>
      <w:pPr>
        <w:pStyle w:val="Normal"/>
        <w:jc w:val="both"/>
        <w:rPr>
          <w:i/>
          <w:i/>
          <w:sz w:val="20"/>
        </w:rPr>
      </w:pPr>
      <w:r>
        <w:rPr>
          <w:i/>
          <w:sz w:val="20"/>
        </w:rPr>
        <w:t>This proposal is for discussion purposes only to facilitate the negotiation, preparation and execution of a definitive agreement.  It is not intended to create a binding or enforceable contract or to be complete and inclusive of the terms of the related proposal.  This is not an offer or commitment of Enron North Americas (ENA) or any parent or affiliate of ENA.  The proposal described herein is subject to further review and approval of ENA, appropriate due diligence and execution of definitive agreements containing all appropriate provisions</w:t>
      </w:r>
    </w:p>
    <w:sectPr>
      <w:headerReference w:type="default" r:id="rId2"/>
      <w:type w:val="nextPage"/>
      <w:pgSz w:w="12240" w:h="15840"/>
      <w:pgMar w:left="1440" w:right="1440" w:gutter="0" w:header="720" w:top="1296" w:footer="0" w:bottom="1296"/>
      <w:pgNumType w:fmt="decimal"/>
      <w:formProt w:val="false"/>
      <w:textDirection w:val="lrTb"/>
      <w:docGrid w:type="default" w:linePitch="20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
        <w:i/>
      </w:rPr>
    </w:pPr>
    <w:r>
      <w:rPr>
        <w:i/>
      </w:rPr>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bCs/>
      <w:iCs/>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bCs w:val="false"/>
    </w:rPr>
  </w:style>
  <w:style w:type="paragraph" w:styleId="Heading2">
    <w:name w:val="heading 2"/>
    <w:basedOn w:val="Normal"/>
    <w:next w:val="Normal"/>
    <w:qFormat/>
    <w:pPr>
      <w:keepNext w:val="true"/>
      <w:numPr>
        <w:ilvl w:val="1"/>
        <w:numId w:val="1"/>
      </w:numPr>
      <w:ind w:firstLine="720" w:start="705" w:end="0"/>
      <w:jc w:val="both"/>
      <w:outlineLvl w:val="1"/>
    </w:pPr>
    <w:rPr>
      <w:i/>
      <w:sz w:val="20"/>
    </w:rPr>
  </w:style>
  <w:style w:type="paragraph" w:styleId="Heading3">
    <w:name w:val="heading 3"/>
    <w:basedOn w:val="Normal"/>
    <w:next w:val="Normal"/>
    <w:qFormat/>
    <w:pPr>
      <w:keepNext w:val="true"/>
      <w:numPr>
        <w:ilvl w:val="2"/>
        <w:numId w:val="1"/>
      </w:numPr>
      <w:ind w:hanging="0" w:start="1425" w:end="0"/>
      <w:jc w:val="both"/>
      <w:outlineLvl w:val="2"/>
    </w:pPr>
    <w:rPr>
      <w:i/>
      <w:sz w:val="20"/>
    </w:rPr>
  </w:style>
  <w:style w:type="paragraph" w:styleId="Heading4">
    <w:name w:val="heading 4"/>
    <w:basedOn w:val="Normal"/>
    <w:next w:val="Normal"/>
    <w:qFormat/>
    <w:pPr>
      <w:keepNext w:val="true"/>
      <w:numPr>
        <w:ilvl w:val="3"/>
        <w:numId w:val="1"/>
      </w:numPr>
      <w:ind w:hanging="0" w:start="1425" w:end="0"/>
      <w:jc w:val="both"/>
      <w:outlineLvl w:val="3"/>
    </w:pPr>
    <w:rPr>
      <w:sz w:val="20"/>
      <w:u w:val="single"/>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25" w:start="1425" w:end="0"/>
    </w:pPr>
    <w:rPr>
      <w:sz w:val="20"/>
    </w:rPr>
  </w:style>
  <w:style w:type="paragraph" w:styleId="BodyTextIndent2">
    <w:name w:val="Body Text Indent 2"/>
    <w:basedOn w:val="Normal"/>
    <w:qFormat/>
    <w:pPr>
      <w:ind w:hanging="1425" w:start="1425" w:end="0"/>
      <w:jc w:val="both"/>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1425" w:end="0"/>
      <w:jc w:val="both"/>
    </w:pPr>
    <w:rPr>
      <w:sz w:val="20"/>
    </w:rPr>
  </w:style>
  <w:style w:type="paragraph" w:styleId="BodyText2">
    <w:name w:val="Body Text 2"/>
    <w:basedOn w:val="Normal"/>
    <w:qForma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2001-08-15T16:27:00Z</dcterms:created>
  <dc:creator>Ed McMichael</dc:creator>
  <dc:description/>
  <dc:language>en-CA</dc:language>
  <cp:lastModifiedBy>Celeste Cisneros</cp:lastModifiedBy>
  <cp:lastPrinted>2001-08-12T12:58:00Z</cp:lastPrinted>
  <dcterms:modified xsi:type="dcterms:W3CDTF">2001-08-15T16:27:00Z</dcterms:modified>
  <cp:revision>2</cp:revision>
  <dc:subject/>
  <dc:title>Structure</dc:title>
</cp:coreProperties>
</file>