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sz w:val="22"/>
              </w:rPr>
            </w:pPr>
            <w:r>
              <w:rPr>
                <w:b/>
                <w:sz w:val="22"/>
              </w:rPr>
              <w:t>Enron North America Corp.</w:t>
            </w:r>
          </w:p>
          <w:p>
            <w:pPr>
              <w:pStyle w:val="Normal"/>
              <w:tabs>
                <w:tab w:val="clear" w:pos="720"/>
                <w:tab w:val="left" w:pos="2412" w:leader="none"/>
              </w:tabs>
              <w:ind w:start="1962" w:end="0"/>
              <w:rPr>
                <w:i/>
                <w:i/>
                <w:sz w:val="22"/>
              </w:rPr>
            </w:pPr>
            <w:r>
              <w:rPr>
                <w:i/>
                <w:sz w:val="22"/>
              </w:rPr>
              <w:t>P.O. Box 4428</w:t>
            </w:r>
          </w:p>
          <w:p>
            <w:pPr>
              <w:pStyle w:val="Normal"/>
              <w:tabs>
                <w:tab w:val="clear" w:pos="720"/>
                <w:tab w:val="left" w:pos="2412" w:leader="none"/>
              </w:tabs>
              <w:ind w:start="1962" w:end="0"/>
              <w:rPr>
                <w:i/>
                <w:i/>
                <w:sz w:val="22"/>
              </w:rPr>
            </w:pPr>
            <w:r>
              <w:rPr>
                <w:i/>
                <w:sz w:val="22"/>
              </w:rPr>
              <w:t>Houston, TX  77210-4428</w:t>
            </w:r>
          </w:p>
          <w:p>
            <w:pPr>
              <w:pStyle w:val="Normal"/>
              <w:tabs>
                <w:tab w:val="clear" w:pos="720"/>
                <w:tab w:val="left" w:pos="2412" w:leader="none"/>
              </w:tabs>
              <w:ind w:start="1962" w:end="0"/>
              <w:rPr>
                <w:i/>
                <w:i/>
                <w:sz w:val="22"/>
              </w:rPr>
            </w:pPr>
            <w:r>
              <w:rPr>
                <w:i/>
                <w:sz w:val="22"/>
              </w:rPr>
              <w:t>(713) 853-3300</w:t>
            </w:r>
          </w:p>
          <w:p>
            <w:pPr>
              <w:pStyle w:val="Normal"/>
              <w:tabs>
                <w:tab w:val="clear" w:pos="720"/>
                <w:tab w:val="left" w:pos="2412" w:leader="none"/>
              </w:tabs>
              <w:ind w:start="1962" w:end="0"/>
              <w:rPr>
                <w:i/>
                <w:i/>
                <w:sz w:val="22"/>
              </w:rPr>
            </w:pPr>
            <w:r>
              <w:rPr>
                <w:i/>
                <w:sz w:val="22"/>
              </w:rPr>
              <w:t xml:space="preserve">Fax (713) 646-4618 </w:t>
            </w:r>
          </w:p>
          <w:p>
            <w:pPr>
              <w:pStyle w:val="Normal"/>
              <w:tabs>
                <w:tab w:val="clear" w:pos="720"/>
                <w:tab w:val="left" w:pos="2412" w:leader="none"/>
              </w:tabs>
              <w:ind w:start="1962" w:end="0"/>
              <w:rPr>
                <w:i/>
                <w:i/>
                <w:sz w:val="22"/>
              </w:rPr>
            </w:pPr>
            <w:r>
              <w:rPr>
                <w:i/>
                <w:sz w:val="22"/>
              </w:rPr>
            </w:r>
          </w:p>
        </w:tc>
      </w:tr>
    </w:tbl>
    <w:p>
      <w:pPr>
        <w:pStyle w:val="Normal"/>
        <w:rPr>
          <w:sz w:val="22"/>
        </w:rPr>
      </w:pPr>
      <w:r>
        <w:rPr>
          <w:sz w:val="22"/>
        </w:rPr>
      </w:r>
    </w:p>
    <w:p>
      <w:pPr>
        <w:pStyle w:val="Normal"/>
        <w:tabs>
          <w:tab w:val="clear" w:pos="720"/>
          <w:tab w:val="left" w:pos="3870" w:leader="none"/>
        </w:tabs>
        <w:jc w:val="center"/>
        <w:rPr>
          <w:b/>
          <w:sz w:val="22"/>
        </w:rPr>
      </w:pPr>
      <w:r>
        <w:rPr>
          <w:b/>
          <w:sz w:val="22"/>
        </w:rPr>
        <w:t>CONFIRMATION</w:t>
      </w:r>
    </w:p>
    <w:p>
      <w:pPr>
        <w:pStyle w:val="Normal"/>
        <w:tabs>
          <w:tab w:val="clear" w:pos="720"/>
          <w:tab w:val="left" w:pos="3870" w:leader="none"/>
        </w:tabs>
        <w:jc w:val="center"/>
        <w:rPr>
          <w:sz w:val="22"/>
        </w:rPr>
      </w:pPr>
      <w:r>
        <w:rPr>
          <w:b/>
          <w:sz w:val="22"/>
        </w:rPr>
        <w:t>(SWAP)</w:t>
      </w:r>
    </w:p>
    <w:p>
      <w:pPr>
        <w:pStyle w:val="Normal"/>
        <w:tabs>
          <w:tab w:val="clear" w:pos="720"/>
          <w:tab w:val="left" w:pos="3870" w:leader="none"/>
        </w:tabs>
        <w:rPr>
          <w:sz w:val="22"/>
        </w:rPr>
      </w:pPr>
      <w:r>
        <w:rPr>
          <w:sz w:val="22"/>
        </w:rPr>
      </w:r>
    </w:p>
    <w:p>
      <w:pPr>
        <w:pStyle w:val="Normal"/>
        <w:rPr>
          <w:sz w:val="22"/>
        </w:rPr>
      </w:pPr>
      <w:r>
        <w:rPr>
          <w:sz w:val="22"/>
        </w:rPr>
        <w:t>Date:</w:t>
        <w:tab/>
        <w:tab/>
        <w:t>[                     ]</w:t>
      </w:r>
    </w:p>
    <w:p>
      <w:pPr>
        <w:pStyle w:val="Normal"/>
        <w:rPr>
          <w:sz w:val="22"/>
        </w:rPr>
      </w:pPr>
      <w:r>
        <w:rPr>
          <w:sz w:val="22"/>
        </w:rPr>
        <w:t>To:</w:t>
        <w:tab/>
        <w:tab/>
        <w:t>WPS Energy Services, Inc. ("Party B")</w:t>
      </w:r>
    </w:p>
    <w:p>
      <w:pPr>
        <w:pStyle w:val="Normal"/>
        <w:rPr>
          <w:sz w:val="22"/>
        </w:rPr>
      </w:pPr>
      <w:r>
        <w:rPr>
          <w:sz w:val="22"/>
        </w:rPr>
        <w:t>Attention:</w:t>
        <w:tab/>
        <w:t>Document Department</w:t>
      </w:r>
    </w:p>
    <w:p>
      <w:pPr>
        <w:pStyle w:val="Normal"/>
        <w:rPr>
          <w:sz w:val="22"/>
        </w:rPr>
      </w:pPr>
      <w:r>
        <w:rPr>
          <w:sz w:val="22"/>
        </w:rPr>
        <w:t>Fax No.:</w:t>
        <w:tab/>
        <w:t xml:space="preserve">(920) 496-9399                     </w:t>
      </w:r>
    </w:p>
    <w:p>
      <w:pPr>
        <w:pStyle w:val="Normal"/>
        <w:rPr>
          <w:sz w:val="22"/>
        </w:rPr>
      </w:pPr>
      <w:r>
        <w:rPr>
          <w:sz w:val="22"/>
        </w:rPr>
        <w:t>From:</w:t>
        <w:tab/>
        <w:tab/>
        <w:t>Enron North America Corp. ("Party A")</w:t>
      </w:r>
    </w:p>
    <w:p>
      <w:pPr>
        <w:pStyle w:val="Normal"/>
        <w:rPr>
          <w:sz w:val="22"/>
        </w:rPr>
      </w:pPr>
      <w:r>
        <w:rPr>
          <w:sz w:val="22"/>
        </w:rPr>
        <w:t>Re:</w:t>
        <w:tab/>
        <w:tab/>
        <w:t>Commodity Swap [             ]</w:t>
      </w:r>
    </w:p>
    <w:p>
      <w:pPr>
        <w:pStyle w:val="Normal"/>
        <w:rPr>
          <w:sz w:val="22"/>
        </w:rPr>
      </w:pPr>
      <w:r>
        <w:rPr>
          <w:sz w:val="22"/>
        </w:rPr>
      </w:r>
    </w:p>
    <w:p>
      <w:pPr>
        <w:pStyle w:val="BodyText"/>
        <w:rPr/>
      </w:pPr>
      <w:r>
        <w:rPr/>
        <w:tab/>
        <w:t>The purpose of this letter is to confirm the terms and conditions of the Transaction entered into between us on the Trade Date specified below (the "Transaction").  This letter constitutes a "Confirmation" as referred to in the ISDA Master Agreement specified below.</w:t>
      </w:r>
    </w:p>
    <w:p>
      <w:pPr>
        <w:pStyle w:val="Normal"/>
        <w:jc w:val="both"/>
        <w:rPr>
          <w:sz w:val="22"/>
        </w:rPr>
      </w:pPr>
      <w:r>
        <w:rPr>
          <w:sz w:val="22"/>
        </w:rPr>
      </w:r>
    </w:p>
    <w:p>
      <w:pPr>
        <w:pStyle w:val="BodyText"/>
        <w:rPr/>
      </w:pPr>
      <w:r>
        <w:rPr/>
        <w:tab/>
        <w:t>1.  This Confirmation supplements, forms part of, and is subject to, the ISDA Master Agreement dated as of August 30, 1999, as amended and supplemented from time to time (the "Agreement"), between you and us.  All provisions contained in the Agreement govern this Confirmation except as expressly modified below.</w:t>
      </w:r>
    </w:p>
    <w:p>
      <w:pPr>
        <w:pStyle w:val="Normal"/>
        <w:jc w:val="both"/>
        <w:rPr>
          <w:sz w:val="22"/>
        </w:rPr>
      </w:pPr>
      <w:r>
        <w:rPr>
          <w:sz w:val="22"/>
        </w:rPr>
      </w:r>
    </w:p>
    <w:p>
      <w:pPr>
        <w:pStyle w:val="Normal"/>
        <w:rPr>
          <w:sz w:val="22"/>
        </w:rPr>
      </w:pPr>
      <w:r>
        <w:rPr>
          <w:sz w:val="22"/>
        </w:rPr>
        <w:tab/>
        <w:t>2.  The terms of the particular Transaction to which this Confirmation relates are as follows:</w:t>
      </w:r>
    </w:p>
    <w:p>
      <w:pPr>
        <w:pStyle w:val="Normal"/>
        <w:rPr>
          <w:sz w:val="22"/>
        </w:rPr>
      </w:pPr>
      <w:r>
        <w:rPr>
          <w:sz w:val="22"/>
        </w:rPr>
      </w:r>
    </w:p>
    <w:p>
      <w:pPr>
        <w:pStyle w:val="Normal"/>
        <w:rPr>
          <w:sz w:val="22"/>
        </w:rPr>
      </w:pPr>
      <w:r>
        <w:rPr>
          <w:b/>
          <w:sz w:val="22"/>
        </w:rPr>
        <w:t>General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Notional Quantity per</w:t>
            </w:r>
          </w:p>
          <w:p>
            <w:pPr>
              <w:pStyle w:val="Normal"/>
              <w:ind w:firstLine="720" w:end="0"/>
              <w:rPr>
                <w:sz w:val="22"/>
              </w:rPr>
            </w:pPr>
            <w:r>
              <w:rPr>
                <w:sz w:val="22"/>
              </w:rPr>
              <w:t>Calculation Period:</w:t>
            </w:r>
          </w:p>
        </w:tc>
        <w:tc>
          <w:tcPr>
            <w:tcW w:w="6102" w:type="dxa"/>
            <w:tcBorders/>
          </w:tcPr>
          <w:p>
            <w:pPr>
              <w:pStyle w:val="Normal"/>
              <w:snapToGrid w:val="false"/>
              <w:rPr>
                <w:sz w:val="22"/>
              </w:rPr>
            </w:pPr>
            <w:r>
              <w:rPr>
                <w:sz w:val="22"/>
              </w:rPr>
            </w:r>
          </w:p>
          <w:p>
            <w:pPr>
              <w:pStyle w:val="Normal"/>
              <w:rPr>
                <w:i/>
                <w:i/>
                <w:sz w:val="22"/>
              </w:rPr>
            </w:pPr>
            <w:r>
              <w:rPr/>
              <w:t>357,000 gallons per month</w:t>
            </w:r>
          </w:p>
        </w:tc>
      </w:tr>
    </w:tbl>
    <w:p>
      <w:pPr>
        <w:pStyle w:val="Normal"/>
        <w:rPr>
          <w:sz w:val="22"/>
        </w:rPr>
      </w:pPr>
      <w:r>
        <w:rPr>
          <w:sz w:val="22"/>
        </w:rPr>
      </w:r>
    </w:p>
    <w:p>
      <w:pPr>
        <w:pStyle w:val="Normal"/>
        <w:ind w:firstLine="720" w:end="0"/>
        <w:rPr>
          <w:sz w:val="22"/>
        </w:rPr>
      </w:pPr>
      <w:r>
        <w:rPr>
          <w:sz w:val="22"/>
        </w:rPr>
        <w:t>Commodity:</w:t>
        <w:tab/>
        <w:tab/>
        <w:tab/>
        <w:tab/>
        <w:t>Diesel Fuel</w:t>
      </w:r>
    </w:p>
    <w:p>
      <w:pPr>
        <w:pStyle w:val="Normal"/>
        <w:rPr>
          <w:sz w:val="22"/>
        </w:rPr>
      </w:pPr>
      <w:r>
        <w:rPr>
          <w:sz w:val="22"/>
        </w:rPr>
      </w:r>
    </w:p>
    <w:p>
      <w:pPr>
        <w:pStyle w:val="Normal"/>
        <w:ind w:firstLine="720" w:end="0"/>
        <w:rPr>
          <w:sz w:val="22"/>
        </w:rPr>
      </w:pPr>
      <w:r>
        <w:rPr>
          <w:sz w:val="22"/>
        </w:rPr>
        <w:t>Commodity Unit:</w:t>
        <w:tab/>
        <w:tab/>
        <w:tab/>
        <w:t>Gallons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Trade Date:</w:t>
            </w:r>
          </w:p>
        </w:tc>
        <w:tc>
          <w:tcPr>
            <w:tcW w:w="6102" w:type="dxa"/>
            <w:tcBorders/>
          </w:tcPr>
          <w:p>
            <w:pPr>
              <w:pStyle w:val="Normal"/>
              <w:rPr>
                <w:sz w:val="22"/>
              </w:rPr>
            </w:pPr>
            <w:r>
              <w:rPr>
                <w:sz w:val="22"/>
              </w:rPr>
              <w:t>[               ]</w:t>
            </w:r>
          </w:p>
        </w:tc>
      </w:tr>
      <w:tr>
        <w:trPr/>
        <w:tc>
          <w:tcPr>
            <w:tcW w:w="4338" w:type="dxa"/>
            <w:tcBorders/>
          </w:tcPr>
          <w:p>
            <w:pPr>
              <w:pStyle w:val="Normal"/>
              <w:snapToGrid w:val="false"/>
              <w:ind w:firstLine="720" w:end="0"/>
              <w:jc w:val="both"/>
              <w:rPr>
                <w:sz w:val="22"/>
              </w:rPr>
            </w:pPr>
            <w:r>
              <w:rPr>
                <w:sz w:val="22"/>
              </w:rPr>
            </w:r>
          </w:p>
        </w:tc>
        <w:tc>
          <w:tcPr>
            <w:tcW w:w="6102" w:type="dxa"/>
            <w:tcBorders/>
          </w:tcPr>
          <w:p>
            <w:pPr>
              <w:pStyle w:val="Normal"/>
              <w:snapToGrid w:val="false"/>
              <w:ind w:start="-18" w:end="0"/>
              <w:jc w:val="both"/>
              <w:rPr>
                <w:sz w:val="22"/>
              </w:rPr>
            </w:pPr>
            <w:r>
              <w:rPr>
                <w:sz w:val="22"/>
              </w:rPr>
            </w:r>
          </w:p>
        </w:tc>
      </w:tr>
      <w:tr>
        <w:trPr/>
        <w:tc>
          <w:tcPr>
            <w:tcW w:w="4338" w:type="dxa"/>
            <w:tcBorders/>
          </w:tcPr>
          <w:p>
            <w:pPr>
              <w:pStyle w:val="Normal"/>
              <w:ind w:firstLine="720" w:end="0"/>
              <w:jc w:val="both"/>
              <w:rPr>
                <w:sz w:val="22"/>
              </w:rPr>
            </w:pPr>
            <w:r>
              <w:rPr>
                <w:sz w:val="22"/>
              </w:rPr>
              <w:t>Effective Date:</w:t>
            </w:r>
          </w:p>
        </w:tc>
        <w:tc>
          <w:tcPr>
            <w:tcW w:w="6102" w:type="dxa"/>
            <w:tcBorders/>
          </w:tcPr>
          <w:p>
            <w:pPr>
              <w:pStyle w:val="Normal"/>
              <w:ind w:start="-18" w:end="0"/>
              <w:jc w:val="both"/>
              <w:rPr>
                <w:sz w:val="22"/>
              </w:rPr>
            </w:pPr>
            <w:r>
              <w:rPr>
                <w:sz w:val="22"/>
              </w:rPr>
              <w:t>January 1,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198"/>
              <w:jc w:val="both"/>
              <w:rPr>
                <w:sz w:val="22"/>
              </w:rPr>
            </w:pPr>
            <w:r>
              <w:rPr>
                <w:sz w:val="22"/>
              </w:rPr>
              <w:t>Termination Date:</w:t>
            </w:r>
          </w:p>
        </w:tc>
        <w:tc>
          <w:tcPr>
            <w:tcW w:w="6102" w:type="dxa"/>
            <w:tcBorders/>
          </w:tcPr>
          <w:p>
            <w:pPr>
              <w:pStyle w:val="Normal"/>
              <w:ind w:start="-18" w:end="0"/>
              <w:jc w:val="both"/>
              <w:rPr>
                <w:sz w:val="22"/>
              </w:rPr>
            </w:pPr>
            <w:r>
              <w:rPr>
                <w:sz w:val="22"/>
              </w:rPr>
              <w:t>June 30, 2002</w:t>
            </w:r>
          </w:p>
        </w:tc>
      </w:tr>
    </w:tbl>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jc w:val="both"/>
              <w:rPr>
                <w:sz w:val="22"/>
              </w:rPr>
            </w:pPr>
            <w:r>
              <w:rPr>
                <w:sz w:val="22"/>
              </w:rPr>
              <w:t>Calculation Period(s):</w:t>
            </w:r>
          </w:p>
        </w:tc>
        <w:tc>
          <w:tcPr>
            <w:tcW w:w="6102" w:type="dxa"/>
            <w:tcBorders/>
          </w:tcPr>
          <w:p>
            <w:pPr>
              <w:pStyle w:val="Normal"/>
              <w:jc w:val="both"/>
              <w:rPr>
                <w:sz w:val="22"/>
              </w:rPr>
            </w:pPr>
            <w:r>
              <w:rPr>
                <w:sz w:val="22"/>
              </w:rPr>
              <w:fldChar w:fldCharType="begin"/>
            </w:r>
            <w:r>
              <w:rPr>
                <w:sz w:val="22"/>
              </w:rPr>
              <w:instrText xml:space="preserve"> MERGEFIELD DeterminationPeriod </w:instrText>
            </w:r>
            <w:r>
              <w:rPr>
                <w:sz w:val="22"/>
              </w:rPr>
              <w:fldChar w:fldCharType="separate"/>
            </w:r>
            <w:r>
              <w:rPr>
                <w:sz w:val="22"/>
              </w:rPr>
              <w:t>Each calendar month beginning with January 1, 2002 and ending on June 30, 2002</w:t>
            </w:r>
            <w:r>
              <w:rPr>
                <w:sz w:val="22"/>
              </w:rPr>
              <w:fldChar w:fldCharType="end"/>
            </w:r>
            <w:r>
              <w:rPr>
                <w:sz w:val="22"/>
              </w:rPr>
              <w:t xml:space="preserve"> </w:t>
            </w:r>
            <w:r>
              <w:rPr>
                <w:sz w:val="22"/>
              </w:rPr>
              <w:fldChar w:fldCharType="begin"/>
            </w:r>
            <w:r>
              <w:rPr>
                <w:sz w:val="22"/>
              </w:rPr>
              <w:instrText xml:space="preserve"> MERGEFIELD HolidayExclusion </w:instrText>
            </w:r>
            <w:r>
              <w:rPr>
                <w:sz w:val="22"/>
              </w:rPr>
              <w:fldChar w:fldCharType="separate"/>
            </w:r>
            <w:r>
              <w:rPr>
                <w:sz w:val="22"/>
              </w:rPr>
              <w:t xml:space="preserve"> </w:t>
            </w:r>
            <w:r>
              <w:rPr>
                <w:sz w:val="22"/>
              </w:rPr>
              <w:fldChar w:fldCharType="end"/>
            </w:r>
          </w:p>
        </w:tc>
      </w:tr>
    </w:tbl>
    <w:p>
      <w:pPr>
        <w:pStyle w:val="Normal"/>
        <w:ind w:end="-270"/>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Payment Date(s):</w:t>
            </w:r>
          </w:p>
        </w:tc>
        <w:tc>
          <w:tcPr>
            <w:tcW w:w="6102" w:type="dxa"/>
            <w:tcBorders/>
          </w:tcPr>
          <w:p>
            <w:pPr>
              <w:pStyle w:val="Normal"/>
              <w:jc w:val="both"/>
              <w:rPr>
                <w:sz w:val="22"/>
              </w:rPr>
            </w:pPr>
            <w:r>
              <w:rPr>
                <w:sz w:val="22"/>
              </w:rPr>
              <w:fldChar w:fldCharType="begin"/>
            </w:r>
            <w:r>
              <w:rPr>
                <w:sz w:val="22"/>
              </w:rPr>
              <w:instrText xml:space="preserve"> MERGEFIELD PaymentDates </w:instrText>
            </w:r>
            <w:r>
              <w:rPr>
                <w:sz w:val="22"/>
              </w:rPr>
              <w:fldChar w:fldCharType="separate"/>
            </w:r>
            <w:r>
              <w:rPr>
                <w:sz w:val="22"/>
              </w:rPr>
              <w:t>The fifth (5th) Business Day succeeding the last Pricing Date for the applicable Calculation Period</w:t>
            </w:r>
            <w:r>
              <w:rPr>
                <w:sz w:val="22"/>
              </w:rPr>
              <w:fldChar w:fldCharType="end"/>
            </w:r>
          </w:p>
        </w:tc>
      </w:tr>
    </w:tbl>
    <w:p>
      <w:pPr>
        <w:pStyle w:val="Normal"/>
        <w:rPr>
          <w:sz w:val="22"/>
        </w:rPr>
      </w:pPr>
      <w:r>
        <w:rPr>
          <w:sz w:val="22"/>
        </w:rPr>
      </w:r>
    </w:p>
    <w:p>
      <w:pPr>
        <w:pStyle w:val="Normal"/>
        <w:rPr/>
      </w:pPr>
      <w:r>
        <w:rPr>
          <w:b/>
          <w:sz w:val="22"/>
        </w:rPr>
        <w:t>Fixed Amount Details:</w:t>
      </w:r>
      <w:r>
        <w:rPr>
          <w:sz w:val="22"/>
        </w:rPr>
        <w:tab/>
        <w:tab/>
        <w:tab/>
      </w:r>
    </w:p>
    <w:p>
      <w:pPr>
        <w:pStyle w:val="Normal"/>
        <w:rPr>
          <w:sz w:val="22"/>
        </w:rPr>
      </w:pPr>
      <w:r>
        <w:rPr>
          <w:sz w:val="22"/>
        </w:rPr>
      </w:r>
    </w:p>
    <w:p>
      <w:pPr>
        <w:pStyle w:val="Normal"/>
        <w:ind w:firstLine="720" w:end="0"/>
        <w:rPr>
          <w:i/>
          <w:i/>
          <w:sz w:val="22"/>
        </w:rPr>
      </w:pPr>
      <w:r>
        <w:rPr>
          <w:sz w:val="22"/>
        </w:rPr>
        <w:t xml:space="preserve">Fixed Price Payer: </w:t>
        <w:tab/>
        <w:tab/>
        <w:tab/>
        <w:t>Party B</w:t>
      </w:r>
    </w:p>
    <w:p>
      <w:pPr>
        <w:pStyle w:val="Normal"/>
        <w:ind w:firstLine="720" w:end="0"/>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Fixed Price:</w:t>
            </w:r>
          </w:p>
        </w:tc>
        <w:tc>
          <w:tcPr>
            <w:tcW w:w="6102" w:type="dxa"/>
            <w:tcBorders/>
          </w:tcPr>
          <w:p>
            <w:pPr>
              <w:pStyle w:val="Normal"/>
              <w:jc w:val="both"/>
              <w:rPr>
                <w:sz w:val="22"/>
              </w:rPr>
            </w:pPr>
            <w:r>
              <w:rPr>
                <w:sz w:val="22"/>
              </w:rPr>
              <w:t>The price set forth in the Attachment plus any applicable Tax Adjustments (as defined below)</w:t>
            </w:r>
          </w:p>
        </w:tc>
      </w:tr>
    </w:tbl>
    <w:p>
      <w:pPr>
        <w:pStyle w:val="Normal"/>
        <w:rPr>
          <w:sz w:val="22"/>
        </w:rPr>
      </w:pPr>
      <w:r>
        <w:rPr>
          <w:sz w:val="22"/>
        </w:rPr>
      </w:r>
    </w:p>
    <w:p>
      <w:pPr>
        <w:pStyle w:val="Normal"/>
        <w:rPr/>
      </w:pPr>
      <w:r>
        <w:rPr>
          <w:b/>
          <w:sz w:val="22"/>
        </w:rPr>
        <w:t>Floating Amount Details:</w:t>
      </w:r>
      <w:r>
        <w:rPr>
          <w:sz w:val="22"/>
        </w:rPr>
        <w:tab/>
        <w:tab/>
        <w:tab/>
      </w:r>
    </w:p>
    <w:p>
      <w:pPr>
        <w:pStyle w:val="Normal"/>
        <w:rPr>
          <w:sz w:val="22"/>
        </w:rPr>
      </w:pPr>
      <w:r>
        <w:rPr>
          <w:sz w:val="22"/>
        </w:rPr>
      </w:r>
    </w:p>
    <w:p>
      <w:pPr>
        <w:pStyle w:val="Normal"/>
        <w:ind w:firstLine="720" w:end="0"/>
        <w:rPr>
          <w:i/>
          <w:i/>
          <w:sz w:val="22"/>
        </w:rPr>
      </w:pPr>
      <w:r>
        <w:rPr>
          <w:sz w:val="22"/>
        </w:rPr>
        <w:t xml:space="preserve">Floating Price Payer: </w:t>
        <w:tab/>
        <w:tab/>
        <w:tab/>
        <w:t>Party A</w:t>
      </w:r>
    </w:p>
    <w:p>
      <w:pPr>
        <w:pStyle w:val="Normal"/>
        <w:rPr>
          <w:i/>
          <w:i/>
          <w:sz w:val="22"/>
        </w:rPr>
      </w:pPr>
      <w:r>
        <w:rPr>
          <w:i/>
          <w:sz w:val="22"/>
        </w:rPr>
      </w:r>
    </w:p>
    <w:tbl>
      <w:tblPr>
        <w:tblW w:w="10440" w:type="dxa"/>
        <w:jc w:val="start"/>
        <w:tblInd w:w="0" w:type="dxa"/>
        <w:tblLayout w:type="fixed"/>
        <w:tblCellMar>
          <w:top w:w="0" w:type="dxa"/>
          <w:start w:w="108" w:type="dxa"/>
          <w:bottom w:w="0" w:type="dxa"/>
          <w:end w:w="108" w:type="dxa"/>
        </w:tblCellMar>
      </w:tblPr>
      <w:tblGrid>
        <w:gridCol w:w="4338"/>
        <w:gridCol w:w="6102"/>
      </w:tblGrid>
      <w:tr>
        <w:trPr/>
        <w:tc>
          <w:tcPr>
            <w:tcW w:w="4338" w:type="dxa"/>
            <w:tcBorders/>
          </w:tcPr>
          <w:p>
            <w:pPr>
              <w:pStyle w:val="Normal"/>
              <w:ind w:firstLine="720" w:end="0"/>
              <w:rPr>
                <w:sz w:val="22"/>
              </w:rPr>
            </w:pPr>
            <w:r>
              <w:rPr>
                <w:sz w:val="22"/>
              </w:rPr>
              <w:t>Floating Price and</w:t>
            </w:r>
          </w:p>
          <w:p>
            <w:pPr>
              <w:pStyle w:val="Normal"/>
              <w:ind w:firstLine="720" w:end="0"/>
              <w:rPr>
                <w:sz w:val="22"/>
              </w:rPr>
            </w:pPr>
            <w:r>
              <w:rPr>
                <w:sz w:val="22"/>
              </w:rPr>
              <w:t>Pricing Date(s):</w:t>
            </w:r>
          </w:p>
        </w:tc>
        <w:tc>
          <w:tcPr>
            <w:tcW w:w="6102" w:type="dxa"/>
            <w:tcBorders/>
          </w:tcPr>
          <w:p>
            <w:pPr>
              <w:pStyle w:val="Normal"/>
              <w:snapToGrid w:val="false"/>
              <w:jc w:val="both"/>
              <w:rPr>
                <w:sz w:val="22"/>
              </w:rPr>
            </w:pPr>
            <w:r>
              <w:rPr>
                <w:sz w:val="22"/>
              </w:rPr>
            </w:r>
          </w:p>
          <w:p>
            <w:pPr>
              <w:pStyle w:val="Normal"/>
              <w:jc w:val="both"/>
              <w:rPr>
                <w:sz w:val="22"/>
              </w:rPr>
            </w:pPr>
            <w:r>
              <w:rPr>
                <w:sz w:val="22"/>
              </w:rPr>
              <w:t>The arithmetic average of the daily prices of the DOA Weekly Index for the applicable Calculation Period.  “DOE Weekly Index” means the price published by the Energy Information Administration (“EIA”) of the U.S. Department of Energy on the EIA’s official website under the heading “National U.S. Average” for EIA Retail On-Highway Diesel Fuel on the first Business Day of each week.</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Tax Adjustments:</w:t>
            </w:r>
          </w:p>
        </w:tc>
        <w:tc>
          <w:tcPr>
            <w:tcW w:w="6102" w:type="dxa"/>
            <w:tcBorders/>
          </w:tcPr>
          <w:p>
            <w:pPr>
              <w:pStyle w:val="Normal"/>
              <w:ind w:hanging="3" w:end="0"/>
              <w:jc w:val="both"/>
              <w:rPr>
                <w:sz w:val="22"/>
              </w:rPr>
            </w:pPr>
            <w:r>
              <w:rPr>
                <w:sz w:val="22"/>
              </w:rPr>
              <w:t>Tax Adjustments means, with respect to a Calculation Period, (i) the Federal Diesel Tax Rate in effect on the last day of the Calculation Period, minus (ii) the Federal Diesel Tax Rate in effect on the first day of the Calculation Period.</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4338" w:type="dxa"/>
            <w:tcBorders/>
          </w:tcPr>
          <w:p>
            <w:pPr>
              <w:pStyle w:val="Normal"/>
              <w:ind w:firstLine="720" w:end="0"/>
              <w:rPr>
                <w:sz w:val="22"/>
              </w:rPr>
            </w:pPr>
            <w:r>
              <w:rPr>
                <w:sz w:val="22"/>
              </w:rPr>
              <w:t>Federal Diesel Tax Rate:</w:t>
            </w:r>
          </w:p>
        </w:tc>
        <w:tc>
          <w:tcPr>
            <w:tcW w:w="6102" w:type="dxa"/>
            <w:tcBorders/>
          </w:tcPr>
          <w:p>
            <w:pPr>
              <w:pStyle w:val="Normal"/>
              <w:jc w:val="both"/>
              <w:rPr>
                <w:sz w:val="22"/>
              </w:rPr>
            </w:pPr>
            <w:r>
              <w:rPr>
                <w:sz w:val="22"/>
              </w:rPr>
              <w:t>Federal Diesel Tax Rate means the amount per gallon of Diesel Fuel of sales tax imposed by the U.S. federal government pursuant to 26 U.S.C. §4081 (or any successor provision thereto).</w:t>
            </w:r>
          </w:p>
        </w:tc>
      </w:tr>
      <w:tr>
        <w:trPr/>
        <w:tc>
          <w:tcPr>
            <w:tcW w:w="4338" w:type="dxa"/>
            <w:tcBorders/>
          </w:tcPr>
          <w:p>
            <w:pPr>
              <w:pStyle w:val="Normal"/>
              <w:snapToGrid w:val="false"/>
              <w:ind w:firstLine="720" w:end="0"/>
              <w:rPr>
                <w:sz w:val="22"/>
              </w:rPr>
            </w:pPr>
            <w:r>
              <w:rPr>
                <w:sz w:val="22"/>
              </w:rPr>
            </w:r>
          </w:p>
        </w:tc>
        <w:tc>
          <w:tcPr>
            <w:tcW w:w="6102" w:type="dxa"/>
            <w:tcBorders/>
          </w:tcPr>
          <w:p>
            <w:pPr>
              <w:pStyle w:val="Normal"/>
              <w:snapToGrid w:val="false"/>
              <w:jc w:val="both"/>
              <w:rPr>
                <w:sz w:val="22"/>
              </w:rPr>
            </w:pPr>
            <w:r>
              <w:rPr>
                <w:sz w:val="22"/>
              </w:rPr>
            </w:r>
          </w:p>
        </w:tc>
      </w:tr>
      <w:tr>
        <w:trPr/>
        <w:tc>
          <w:tcPr>
            <w:tcW w:w="10440" w:type="dxa"/>
            <w:gridSpan w:val="2"/>
            <w:tcBorders/>
          </w:tcPr>
          <w:p>
            <w:pPr>
              <w:pStyle w:val="Normal"/>
              <w:tabs>
                <w:tab w:val="clear" w:pos="720"/>
                <w:tab w:val="left" w:pos="630" w:leader="none"/>
              </w:tabs>
              <w:jc w:val="both"/>
              <w:rPr>
                <w:sz w:val="22"/>
              </w:rPr>
            </w:pPr>
            <w:r>
              <w:rPr>
                <w:sz w:val="22"/>
              </w:rPr>
              <w:t xml:space="preserve">            </w:t>
            </w:r>
            <w:r>
              <w:rPr>
                <w:sz w:val="22"/>
              </w:rPr>
              <w:fldChar w:fldCharType="begin"/>
            </w:r>
            <w:r>
              <w:rPr>
                <w:sz w:val="22"/>
              </w:rPr>
              <w:instrText xml:space="preserve"> MERGEFIELD Rounding </w:instrText>
            </w:r>
            <w:r>
              <w:rPr>
                <w:sz w:val="22"/>
              </w:rPr>
              <w:fldChar w:fldCharType="separate"/>
            </w:r>
            <w:r>
              <w:rPr>
                <w:sz w:val="22"/>
              </w:rPr>
              <w:t>For the purposes of the calculations of the Floating Price(s), all numbers shall be rounded as follows: Floating Price(s) relating to commodities quoted in (i) gallons shall be rounded to five places, (ii) MMBtu’s shall be rounded to four places, (iii) barrels shall be rounded to three places and (iv) gigajoules shall be rounded to four places. If the number after the final number is five (5) or greater then the final number shall be increased by one (1), and if the number after the final number is less than five (5) then the final number shall remain unchanged.</w:t>
            </w:r>
            <w:r>
              <w:rPr>
                <w:sz w:val="22"/>
              </w:rPr>
              <w:fldChar w:fldCharType="end"/>
            </w:r>
          </w:p>
        </w:tc>
      </w:tr>
      <w:tr>
        <w:trPr/>
        <w:tc>
          <w:tcPr>
            <w:tcW w:w="10440" w:type="dxa"/>
            <w:gridSpan w:val="2"/>
            <w:tcBorders/>
          </w:tcPr>
          <w:p>
            <w:pPr>
              <w:pStyle w:val="Normal"/>
              <w:tabs>
                <w:tab w:val="clear" w:pos="720"/>
                <w:tab w:val="left" w:pos="630" w:leader="none"/>
              </w:tabs>
              <w:snapToGrid w:val="false"/>
              <w:jc w:val="both"/>
              <w:rPr>
                <w:sz w:val="22"/>
              </w:rPr>
            </w:pPr>
            <w:r>
              <w:rPr>
                <w:sz w:val="22"/>
              </w:rPr>
            </w:r>
          </w:p>
        </w:tc>
      </w:tr>
    </w:tbl>
    <w:p>
      <w:pPr>
        <w:pStyle w:val="Normal"/>
        <w:jc w:val="both"/>
        <w:rPr>
          <w:sz w:val="22"/>
        </w:rPr>
      </w:pPr>
      <w:r>
        <w:rPr>
          <w:sz w:val="22"/>
        </w:rPr>
        <w:tab/>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p>
    <w:p>
      <w:pPr>
        <w:pStyle w:val="Normal"/>
        <w:rPr>
          <w:sz w:val="22"/>
        </w:rPr>
      </w:pPr>
      <w:r>
        <w:rPr>
          <w:sz w:val="22"/>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t>Enron North America Corp.</w:t>
            </w:r>
          </w:p>
          <w:p>
            <w:pPr>
              <w:pStyle w:val="Normal"/>
              <w:rPr>
                <w:sz w:val="22"/>
              </w:rPr>
            </w:pPr>
            <w:r>
              <w:rPr>
                <w:sz w:val="22"/>
              </w:rPr>
            </w:r>
          </w:p>
          <w:p>
            <w:pPr>
              <w:pStyle w:val="Normal"/>
              <w:rPr>
                <w:sz w:val="22"/>
              </w:rPr>
            </w:pPr>
            <w:r>
              <w:rPr>
                <w:sz w:val="22"/>
              </w:rPr>
              <w:t>By: __________________________</w:t>
            </w:r>
          </w:p>
          <w:p>
            <w:pPr>
              <w:pStyle w:val="Normal"/>
              <w:rPr>
                <w:sz w:val="22"/>
              </w:rPr>
            </w:pPr>
            <w:r>
              <w:rPr>
                <w:sz w:val="22"/>
              </w:rPr>
              <w:t>Name:  _______________________</w:t>
            </w:r>
          </w:p>
          <w:p>
            <w:pPr>
              <w:pStyle w:val="Normal"/>
              <w:rPr>
                <w:sz w:val="22"/>
              </w:rPr>
            </w:pPr>
            <w:r>
              <w:rPr>
                <w:sz w:val="22"/>
              </w:rPr>
              <w:t>Title: _________________________</w:t>
            </w:r>
          </w:p>
        </w:tc>
        <w:tc>
          <w:tcPr>
            <w:tcW w:w="5292" w:type="dxa"/>
            <w:tcBorders/>
          </w:tcPr>
          <w:p>
            <w:pPr>
              <w:pStyle w:val="Normal"/>
              <w:rPr>
                <w:sz w:val="22"/>
              </w:rPr>
            </w:pPr>
            <w:r>
              <w:rPr>
                <w:sz w:val="22"/>
              </w:rPr>
              <w:t>Deal No. [            ]</w:t>
            </w:r>
          </w:p>
          <w:p>
            <w:pPr>
              <w:pStyle w:val="Normal"/>
              <w:rPr>
                <w:sz w:val="22"/>
              </w:rPr>
            </w:pPr>
            <w:r>
              <w:rPr>
                <w:sz w:val="22"/>
              </w:rPr>
              <w:t>Confirmed as of the date first above written:</w:t>
            </w:r>
          </w:p>
          <w:p>
            <w:pPr>
              <w:pStyle w:val="Normal"/>
              <w:rPr>
                <w:sz w:val="22"/>
              </w:rPr>
            </w:pPr>
            <w:r>
              <w:rPr>
                <w:sz w:val="22"/>
              </w:rPr>
            </w:r>
          </w:p>
          <w:p>
            <w:pPr>
              <w:pStyle w:val="Normal"/>
              <w:rPr>
                <w:sz w:val="22"/>
              </w:rPr>
            </w:pPr>
            <w:r>
              <w:rPr>
                <w:sz w:val="22"/>
              </w:rPr>
              <w:t>WPS Energy Services, Inc.</w:t>
            </w:r>
          </w:p>
          <w:p>
            <w:pPr>
              <w:pStyle w:val="Normal"/>
              <w:rPr>
                <w:sz w:val="22"/>
              </w:rPr>
            </w:pPr>
            <w:r>
              <w:rPr>
                <w:sz w:val="22"/>
              </w:rPr>
            </w:r>
          </w:p>
          <w:p>
            <w:pPr>
              <w:pStyle w:val="Normal"/>
              <w:rPr/>
            </w:pPr>
            <w:r>
              <w:rPr>
                <w:sz w:val="22"/>
              </w:rPr>
              <w:t xml:space="preserve">By:  </w:t>
            </w:r>
            <w:r>
              <w:rPr>
                <w:sz w:val="22"/>
                <w:u w:val="single"/>
              </w:rPr>
              <w:tab/>
              <w:tab/>
              <w:tab/>
              <w:tab/>
              <w:tab/>
            </w:r>
            <w:r>
              <w:rPr>
                <w:sz w:val="22"/>
              </w:rPr>
              <w:tab/>
            </w:r>
          </w:p>
          <w:p>
            <w:pPr>
              <w:pStyle w:val="Normal"/>
              <w:rPr/>
            </w:pPr>
            <w:r>
              <w:rPr>
                <w:sz w:val="22"/>
              </w:rPr>
              <w:t xml:space="preserve">Name:  </w:t>
            </w:r>
            <w:r>
              <w:rPr>
                <w:sz w:val="22"/>
                <w:u w:val="single"/>
              </w:rPr>
              <w:tab/>
              <w:tab/>
              <w:tab/>
              <w:tab/>
              <w:tab/>
            </w:r>
          </w:p>
          <w:p>
            <w:pPr>
              <w:pStyle w:val="Normal"/>
              <w:rPr>
                <w:sz w:val="22"/>
              </w:rPr>
            </w:pPr>
            <w:r>
              <w:rPr>
                <w:sz w:val="22"/>
              </w:rPr>
              <w:t xml:space="preserve">Title:  </w:t>
            </w:r>
            <w:r>
              <w:rPr>
                <w:sz w:val="22"/>
                <w:u w:val="single"/>
              </w:rPr>
              <w:tab/>
              <w:tab/>
              <w:tab/>
              <w:tab/>
              <w:tab/>
            </w:r>
          </w:p>
        </w:tc>
      </w:tr>
    </w:tbl>
    <w:p>
      <w:pPr>
        <w:pStyle w:val="Normal"/>
        <w:rPr>
          <w:sz w:val="22"/>
        </w:rPr>
      </w:pPr>
      <w:r>
        <w:rPr>
          <w:sz w:val="22"/>
        </w:rPr>
      </w:r>
    </w:p>
    <w:p>
      <w:pPr>
        <w:pStyle w:val="Normal"/>
        <w:rPr/>
      </w:pPr>
      <w:r>
        <w:rPr>
          <w:sz w:val="22"/>
        </w:rPr>
        <w:tab/>
        <w:tab/>
        <w:tab/>
        <w:tab/>
        <w:tab/>
      </w:r>
      <w:r>
        <w:rPr>
          <w:b/>
          <w:sz w:val="22"/>
        </w:rPr>
        <w:t>Attachment</w:t>
      </w:r>
    </w:p>
    <w:p>
      <w:pPr>
        <w:pStyle w:val="Normal"/>
        <w:jc w:val="center"/>
        <w:rPr>
          <w:b/>
          <w:sz w:val="22"/>
        </w:rPr>
      </w:pPr>
      <w:r>
        <w:rPr>
          <w:b/>
          <w:sz w:val="22"/>
        </w:rPr>
      </w:r>
    </w:p>
    <w:p>
      <w:pPr>
        <w:pStyle w:val="Normal"/>
        <w:jc w:val="center"/>
        <w:rPr>
          <w:sz w:val="22"/>
        </w:rPr>
      </w:pPr>
      <w:r>
        <w:rPr>
          <w:sz w:val="22"/>
        </w:rPr>
      </w:r>
    </w:p>
    <w:p>
      <w:pPr>
        <w:pStyle w:val="Normal"/>
        <w:jc w:val="center"/>
        <w:rPr>
          <w:sz w:val="22"/>
        </w:rPr>
      </w:pPr>
      <w:r>
        <w:rPr>
          <w:sz w:val="22"/>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cPr>
          <w:p>
            <w:pPr>
              <w:pStyle w:val="Normal"/>
              <w:rPr>
                <w:b/>
                <w:sz w:val="22"/>
              </w:rPr>
            </w:pPr>
            <w:r>
              <w:rPr>
                <w:b/>
                <w:sz w:val="22"/>
              </w:rPr>
              <w:t>Quantity Measurement:</w:t>
            </w:r>
          </w:p>
        </w:tc>
        <w:tc>
          <w:tcPr>
            <w:tcW w:w="2952" w:type="dxa"/>
            <w:tcBorders/>
          </w:tcPr>
          <w:p>
            <w:pPr>
              <w:pStyle w:val="Normal"/>
              <w:rPr>
                <w:b/>
                <w:sz w:val="22"/>
              </w:rPr>
            </w:pPr>
            <w:r>
              <w:rPr>
                <w:b/>
                <w:sz w:val="22"/>
              </w:rPr>
              <w:t>Gallons</w:t>
            </w:r>
          </w:p>
        </w:tc>
        <w:tc>
          <w:tcPr>
            <w:tcW w:w="2952" w:type="dxa"/>
            <w:tcBorders/>
          </w:tcPr>
          <w:p>
            <w:pPr>
              <w:pStyle w:val="Normal"/>
              <w:snapToGrid w:val="false"/>
              <w:rPr>
                <w:b/>
                <w:sz w:val="22"/>
              </w:rPr>
            </w:pPr>
            <w:r>
              <w:rPr>
                <w:b/>
                <w:sz w:val="22"/>
              </w:rPr>
            </w:r>
          </w:p>
        </w:tc>
      </w:tr>
      <w:tr>
        <w:trPr>
          <w:trHeight w:val="360" w:hRule="atLeast"/>
        </w:trPr>
        <w:tc>
          <w:tcPr>
            <w:tcW w:w="2952" w:type="dxa"/>
            <w:tcBorders/>
          </w:tcPr>
          <w:p>
            <w:pPr>
              <w:pStyle w:val="Normal"/>
              <w:snapToGrid w:val="false"/>
              <w:rPr>
                <w:sz w:val="22"/>
              </w:rPr>
            </w:pPr>
            <w:r>
              <w:rPr>
                <w:sz w:val="22"/>
              </w:rPr>
            </w:r>
          </w:p>
        </w:tc>
        <w:tc>
          <w:tcPr>
            <w:tcW w:w="2952" w:type="dxa"/>
            <w:tcBorders/>
          </w:tcPr>
          <w:p>
            <w:pPr>
              <w:pStyle w:val="Normal"/>
              <w:snapToGrid w:val="false"/>
              <w:rPr>
                <w:sz w:val="22"/>
              </w:rPr>
            </w:pPr>
            <w:r>
              <w:rPr>
                <w:sz w:val="22"/>
              </w:rPr>
            </w:r>
          </w:p>
        </w:tc>
        <w:tc>
          <w:tcPr>
            <w:tcW w:w="2952" w:type="dxa"/>
            <w:tcBorders/>
          </w:tcPr>
          <w:p>
            <w:pPr>
              <w:pStyle w:val="Normal"/>
              <w:snapToGrid w:val="false"/>
              <w:rPr>
                <w:sz w:val="22"/>
              </w:rPr>
            </w:pPr>
            <w:r>
              <w:rPr>
                <w:sz w:val="22"/>
              </w:rPr>
            </w:r>
          </w:p>
        </w:tc>
      </w:tr>
      <w:tr>
        <w:trPr/>
        <w:tc>
          <w:tcPr>
            <w:tcW w:w="2952" w:type="dxa"/>
            <w:tcBorders/>
          </w:tcPr>
          <w:p>
            <w:pPr>
              <w:pStyle w:val="Normal"/>
              <w:snapToGrid w:val="false"/>
              <w:jc w:val="center"/>
              <w:rPr>
                <w:b/>
                <w:sz w:val="22"/>
              </w:rPr>
            </w:pPr>
            <w:r>
              <w:rPr>
                <w:b/>
                <w:sz w:val="22"/>
              </w:rPr>
            </w:r>
          </w:p>
          <w:p>
            <w:pPr>
              <w:pStyle w:val="Normal"/>
              <w:jc w:val="center"/>
              <w:rPr>
                <w:b/>
                <w:sz w:val="22"/>
              </w:rPr>
            </w:pPr>
            <w:r>
              <w:rPr>
                <w:b/>
                <w:sz w:val="22"/>
              </w:rPr>
              <w:t>Calculation Period</w:t>
            </w:r>
          </w:p>
        </w:tc>
        <w:tc>
          <w:tcPr>
            <w:tcW w:w="2952" w:type="dxa"/>
            <w:tcBorders/>
          </w:tcPr>
          <w:p>
            <w:pPr>
              <w:pStyle w:val="Normal"/>
              <w:snapToGrid w:val="false"/>
              <w:jc w:val="center"/>
              <w:rPr>
                <w:b/>
                <w:sz w:val="22"/>
              </w:rPr>
            </w:pPr>
            <w:r>
              <w:rPr>
                <w:b/>
                <w:sz w:val="22"/>
              </w:rPr>
            </w:r>
          </w:p>
          <w:p>
            <w:pPr>
              <w:pStyle w:val="Heading1"/>
              <w:ind w:hanging="0" w:start="0"/>
              <w:rPr/>
            </w:pPr>
            <w:r>
              <w:rPr/>
              <w:t>Fixed Price</w:t>
            </w:r>
          </w:p>
        </w:tc>
        <w:tc>
          <w:tcPr>
            <w:tcW w:w="2952" w:type="dxa"/>
            <w:tcBorders/>
          </w:tcPr>
          <w:p>
            <w:pPr>
              <w:pStyle w:val="Heading2"/>
              <w:snapToGrid w:val="false"/>
              <w:ind w:hanging="0" w:start="0"/>
              <w:rPr>
                <w:b w:val="false"/>
              </w:rPr>
            </w:pPr>
            <w:r>
              <w:rPr>
                <w:b w:val="false"/>
              </w:rPr>
            </w:r>
          </w:p>
        </w:tc>
      </w:tr>
      <w:tr>
        <w:trPr/>
        <w:tc>
          <w:tcPr>
            <w:tcW w:w="2952" w:type="dxa"/>
            <w:tcBorders/>
          </w:tcPr>
          <w:p>
            <w:pPr>
              <w:pStyle w:val="Normal"/>
              <w:jc w:val="center"/>
              <w:rPr>
                <w:sz w:val="22"/>
              </w:rPr>
            </w:pPr>
            <w:r>
              <w:rPr>
                <w:sz w:val="22"/>
              </w:rPr>
              <w:t>-----------------------</w:t>
            </w:r>
          </w:p>
        </w:tc>
        <w:tc>
          <w:tcPr>
            <w:tcW w:w="2952" w:type="dxa"/>
            <w:tcBorders/>
          </w:tcPr>
          <w:p>
            <w:pPr>
              <w:pStyle w:val="Normal"/>
              <w:jc w:val="center"/>
              <w:rPr>
                <w:sz w:val="22"/>
              </w:rPr>
            </w:pPr>
            <w:r>
              <w:rPr>
                <w:sz w:val="22"/>
              </w:rPr>
              <w:t>------------------------</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January, 2002</w:t>
            </w:r>
          </w:p>
        </w:tc>
        <w:tc>
          <w:tcPr>
            <w:tcW w:w="2952" w:type="dxa"/>
            <w:tcBorders/>
          </w:tcPr>
          <w:p>
            <w:pPr>
              <w:pStyle w:val="Normal"/>
              <w:jc w:val="center"/>
              <w:rPr>
                <w:sz w:val="22"/>
              </w:rPr>
            </w:pPr>
            <w:r>
              <w:rPr>
                <w:sz w:val="22"/>
              </w:rPr>
              <w:t>$1.51000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February, 2002</w:t>
            </w:r>
          </w:p>
        </w:tc>
        <w:tc>
          <w:tcPr>
            <w:tcW w:w="2952" w:type="dxa"/>
            <w:tcBorders/>
          </w:tcPr>
          <w:p>
            <w:pPr>
              <w:pStyle w:val="Normal"/>
              <w:jc w:val="center"/>
              <w:rPr>
                <w:sz w:val="22"/>
              </w:rPr>
            </w:pPr>
            <w:r>
              <w:rPr>
                <w:sz w:val="22"/>
              </w:rPr>
              <w:t>$1.50330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March, 2002</w:t>
            </w:r>
          </w:p>
        </w:tc>
        <w:tc>
          <w:tcPr>
            <w:tcW w:w="2952" w:type="dxa"/>
            <w:tcBorders/>
          </w:tcPr>
          <w:p>
            <w:pPr>
              <w:pStyle w:val="Normal"/>
              <w:jc w:val="center"/>
              <w:rPr>
                <w:sz w:val="22"/>
              </w:rPr>
            </w:pPr>
            <w:r>
              <w:rPr>
                <w:sz w:val="22"/>
              </w:rPr>
              <w:t>$1.49080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April, 2002</w:t>
            </w:r>
          </w:p>
        </w:tc>
        <w:tc>
          <w:tcPr>
            <w:tcW w:w="2952" w:type="dxa"/>
            <w:tcBorders/>
          </w:tcPr>
          <w:p>
            <w:pPr>
              <w:pStyle w:val="Normal"/>
              <w:jc w:val="center"/>
              <w:rPr>
                <w:sz w:val="22"/>
              </w:rPr>
            </w:pPr>
            <w:r>
              <w:rPr>
                <w:sz w:val="22"/>
              </w:rPr>
              <w:t>$1.47610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May, 2002</w:t>
            </w:r>
          </w:p>
        </w:tc>
        <w:tc>
          <w:tcPr>
            <w:tcW w:w="2952" w:type="dxa"/>
            <w:tcBorders/>
          </w:tcPr>
          <w:p>
            <w:pPr>
              <w:pStyle w:val="Normal"/>
              <w:jc w:val="center"/>
              <w:rPr>
                <w:sz w:val="22"/>
              </w:rPr>
            </w:pPr>
            <w:r>
              <w:rPr>
                <w:sz w:val="22"/>
              </w:rPr>
              <w:t>$1.46630</w:t>
            </w:r>
          </w:p>
        </w:tc>
        <w:tc>
          <w:tcPr>
            <w:tcW w:w="2952" w:type="dxa"/>
            <w:tcBorders/>
          </w:tcPr>
          <w:p>
            <w:pPr>
              <w:pStyle w:val="Normal"/>
              <w:snapToGrid w:val="false"/>
              <w:jc w:val="center"/>
              <w:rPr>
                <w:sz w:val="22"/>
              </w:rPr>
            </w:pPr>
            <w:r>
              <w:rPr>
                <w:sz w:val="22"/>
              </w:rPr>
            </w:r>
          </w:p>
        </w:tc>
      </w:tr>
      <w:tr>
        <w:trPr/>
        <w:tc>
          <w:tcPr>
            <w:tcW w:w="2952" w:type="dxa"/>
            <w:tcBorders/>
          </w:tcPr>
          <w:p>
            <w:pPr>
              <w:pStyle w:val="Normal"/>
              <w:rPr>
                <w:sz w:val="22"/>
              </w:rPr>
            </w:pPr>
            <w:r>
              <w:rPr>
                <w:sz w:val="22"/>
              </w:rPr>
              <w:t>June, 2002</w:t>
            </w:r>
          </w:p>
        </w:tc>
        <w:tc>
          <w:tcPr>
            <w:tcW w:w="2952" w:type="dxa"/>
            <w:tcBorders/>
          </w:tcPr>
          <w:p>
            <w:pPr>
              <w:pStyle w:val="Normal"/>
              <w:jc w:val="center"/>
              <w:rPr>
                <w:sz w:val="22"/>
              </w:rPr>
            </w:pPr>
            <w:r>
              <w:rPr>
                <w:sz w:val="22"/>
              </w:rPr>
              <w:t>$1.46330</w:t>
            </w:r>
          </w:p>
        </w:tc>
        <w:tc>
          <w:tcPr>
            <w:tcW w:w="2952" w:type="dxa"/>
            <w:tcBorders/>
          </w:tcPr>
          <w:p>
            <w:pPr>
              <w:pStyle w:val="Normal"/>
              <w:snapToGrid w:val="false"/>
              <w:jc w:val="center"/>
              <w:rPr>
                <w:sz w:val="22"/>
              </w:rPr>
            </w:pPr>
            <w:r>
              <w:rPr>
                <w:sz w:val="22"/>
              </w:rPr>
            </w:r>
          </w:p>
        </w:tc>
      </w:tr>
    </w:tbl>
    <w:p>
      <w:pPr>
        <w:pStyle w:val="Normal"/>
        <w:jc w:val="center"/>
        <w:rPr/>
      </w:pPr>
      <w:r>
        <w:rPr/>
      </w:r>
    </w:p>
    <w:sectPr>
      <w:headerReference w:type="default" r:id="rId3"/>
      <w:footerReference w:type="default" r:id="rId4"/>
      <w:type w:val="nextPage"/>
      <w:pgSz w:w="12240" w:h="15840"/>
      <w:pgMar w:left="1152" w:right="864"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s>
      <w:rPr/>
    </w:pPr>
    <w:r>
      <w:rPr/>
      <w:tab/>
    </w:r>
    <w:r>
      <w:rPr>
        <w:color w:val="000000"/>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rPr>
        <w:color w:val="000000"/>
        <w:sz w:val="22"/>
      </w:rPr>
    </w:pPr>
    <w:r>
      <w:rPr>
        <w:color w:val="000000"/>
        <w:sz w:val="2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rFonts w:cs="Arial" w:ascii="Arial" w:hAnsi="Arial"/>
        <w:b/>
        <w:color w:val="000000"/>
      </w:rPr>
      <w:t>Draft – For Discussion Purposes Only</w:t>
    </w:r>
    <w:r>
      <w:rPr/>
      <w:tab/>
    </w:r>
  </w:p>
  <w:p>
    <w:pPr>
      <w:pStyle w:val="Header"/>
      <w:jc w:val="end"/>
      <w:rPr>
        <w:sz w:val="20"/>
      </w:rPr>
    </w:pPr>
    <w:r>
      <w:rPr>
        <w:sz w:val="20"/>
      </w:rPr>
      <w:t>Deal No. [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center"/>
      <w:outlineLvl w:val="1"/>
    </w:pPr>
    <w:rPr>
      <w:b/>
      <w:sz w:val="22"/>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both"/>
    </w:pPr>
    <w:rPr>
      <w:color w:val="008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2001-08-15T16:25:00Z</dcterms:created>
  <dc:creator>ECT</dc:creator>
  <dc:description/>
  <dc:language>en-CA</dc:language>
  <cp:lastModifiedBy>Celeste Cisneros</cp:lastModifiedBy>
  <cp:lastPrinted>2000-11-01T16:07:00Z</cp:lastPrinted>
  <dcterms:modified xsi:type="dcterms:W3CDTF">2001-08-15T16:25:00Z</dcterms:modified>
  <cp:revision>2</cp:revision>
  <dc:subject>Enron Capital &amp; Trade Resources International Corp.</dc:subject>
  <dc:title>N36759.1</dc:title>
</cp:coreProperties>
</file>