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BEFORE THE</w:t>
      </w:r>
    </w:p>
    <w:p>
      <w:pPr>
        <w:pStyle w:val="Normal"/>
        <w:jc w:val="center"/>
        <w:rPr>
          <w:b/>
          <w:bCs/>
        </w:rPr>
      </w:pPr>
      <w:r>
        <w:rPr>
          <w:b/>
          <w:bCs/>
        </w:rPr>
        <w:t>PUBLIC UTILITIES COMMISSION</w:t>
      </w:r>
    </w:p>
    <w:p>
      <w:pPr>
        <w:pStyle w:val="Normal"/>
        <w:jc w:val="center"/>
        <w:rPr>
          <w:b/>
          <w:bCs/>
        </w:rPr>
      </w:pPr>
      <w:r>
        <w:rPr>
          <w:b/>
          <w:bCs/>
        </w:rPr>
        <w:t>OF THE</w:t>
      </w:r>
    </w:p>
    <w:p>
      <w:pPr>
        <w:pStyle w:val="Normal"/>
        <w:jc w:val="center"/>
        <w:rPr>
          <w:b/>
          <w:bCs/>
        </w:rPr>
      </w:pPr>
      <w:r>
        <w:rPr>
          <w:b/>
          <w:bCs/>
        </w:rPr>
        <w:t>STATE OF CALIFORNIA</w:t>
      </w:r>
    </w:p>
    <w:p>
      <w:pPr>
        <w:pStyle w:val="Normal"/>
        <w:jc w:val="center"/>
        <w:rPr>
          <w:b/>
          <w:bCs/>
        </w:rPr>
      </w:pPr>
      <w:r>
        <w:rPr>
          <w:b/>
          <w:bCs/>
        </w:rPr>
      </w:r>
    </w:p>
    <w:tbl>
      <w:tblPr>
        <w:tblW w:w="9576" w:type="dxa"/>
        <w:jc w:val="start"/>
        <w:tblInd w:w="0" w:type="dxa"/>
        <w:tblLayout w:type="fixed"/>
        <w:tblCellMar>
          <w:top w:w="0" w:type="dxa"/>
          <w:start w:w="108" w:type="dxa"/>
          <w:bottom w:w="0" w:type="dxa"/>
          <w:end w:w="108" w:type="dxa"/>
        </w:tblCellMar>
      </w:tblPr>
      <w:tblGrid>
        <w:gridCol w:w="5508"/>
        <w:gridCol w:w="4068"/>
      </w:tblGrid>
      <w:tr>
        <w:trPr/>
        <w:tc>
          <w:tcPr>
            <w:tcW w:w="5508" w:type="dxa"/>
            <w:tcBorders>
              <w:top w:val="single" w:sz="4" w:space="0" w:color="000000"/>
              <w:bottom w:val="single" w:sz="6" w:space="0" w:color="000000"/>
              <w:end w:val="single" w:sz="4" w:space="0" w:color="000000"/>
            </w:tcBorders>
          </w:tcPr>
          <w:p>
            <w:pPr>
              <w:pStyle w:val="Normal"/>
              <w:rPr>
                <w:sz w:val="20"/>
              </w:rPr>
            </w:pPr>
            <w:r>
              <w:rPr>
                <w:sz w:val="20"/>
              </w:rPr>
              <w:t>Application of Pacific Gas and Electric Company for verification, consolidation, and approval of costs and revenues in the transition revenue account.</w:t>
            </w:r>
          </w:p>
        </w:tc>
        <w:tc>
          <w:tcPr>
            <w:tcW w:w="4068" w:type="dxa"/>
            <w:tcBorders>
              <w:start w:val="single" w:sz="4" w:space="0" w:color="000000"/>
            </w:tcBorders>
          </w:tcPr>
          <w:p>
            <w:pPr>
              <w:pStyle w:val="Normal"/>
              <w:snapToGrid w:val="false"/>
              <w:rPr>
                <w:sz w:val="20"/>
              </w:rPr>
            </w:pPr>
            <w:r>
              <w:rPr>
                <w:sz w:val="20"/>
              </w:rPr>
            </w:r>
          </w:p>
          <w:p>
            <w:pPr>
              <w:pStyle w:val="Normal"/>
              <w:rPr>
                <w:sz w:val="20"/>
              </w:rPr>
            </w:pPr>
            <w:r>
              <w:rPr>
                <w:sz w:val="20"/>
              </w:rPr>
              <w:t>Application 98-07-003</w:t>
            </w:r>
          </w:p>
          <w:p>
            <w:pPr>
              <w:pStyle w:val="Normal"/>
              <w:rPr>
                <w:sz w:val="20"/>
              </w:rPr>
            </w:pPr>
            <w:r>
              <w:rPr>
                <w:sz w:val="20"/>
              </w:rPr>
              <w:t>(Filed July 1, 1998)</w:t>
            </w:r>
          </w:p>
          <w:p>
            <w:pPr>
              <w:pStyle w:val="Normal"/>
              <w:rPr>
                <w:sz w:val="20"/>
              </w:rPr>
            </w:pPr>
            <w:r>
              <w:rPr>
                <w:sz w:val="20"/>
              </w:rPr>
            </w:r>
          </w:p>
        </w:tc>
      </w:tr>
      <w:tr>
        <w:trPr/>
        <w:tc>
          <w:tcPr>
            <w:tcW w:w="5508" w:type="dxa"/>
            <w:tcBorders>
              <w:top w:val="single" w:sz="6" w:space="0" w:color="000000"/>
              <w:bottom w:val="single" w:sz="6" w:space="0" w:color="000000"/>
              <w:end w:val="single" w:sz="4" w:space="0" w:color="000000"/>
            </w:tcBorders>
          </w:tcPr>
          <w:p>
            <w:pPr>
              <w:pStyle w:val="Normal"/>
              <w:rPr>
                <w:sz w:val="20"/>
              </w:rPr>
            </w:pPr>
            <w:r>
              <w:rPr>
                <w:sz w:val="20"/>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 memorandum accounts; and 6) electric revenue allocation and rate design changes.</w:t>
            </w:r>
          </w:p>
          <w:p>
            <w:pPr>
              <w:pStyle w:val="Normal"/>
              <w:rPr>
                <w:sz w:val="20"/>
              </w:rPr>
            </w:pPr>
            <w:r>
              <w:rPr>
                <w:sz w:val="20"/>
              </w:rPr>
            </w:r>
          </w:p>
        </w:tc>
        <w:tc>
          <w:tcPr>
            <w:tcW w:w="4068" w:type="dxa"/>
            <w:tcBorders>
              <w:start w:val="single" w:sz="4" w:space="0" w:color="000000"/>
            </w:tcBorders>
          </w:tcPr>
          <w:p>
            <w:pPr>
              <w:pStyle w:val="Normal"/>
              <w:snapToGrid w:val="false"/>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Application 98-07-006</w:t>
            </w:r>
          </w:p>
          <w:p>
            <w:pPr>
              <w:pStyle w:val="Normal"/>
              <w:rPr>
                <w:sz w:val="20"/>
              </w:rPr>
            </w:pPr>
            <w:r>
              <w:rPr>
                <w:sz w:val="20"/>
              </w:rPr>
              <w:t>(Filed July 1, 1998)</w:t>
            </w:r>
          </w:p>
        </w:tc>
      </w:tr>
      <w:tr>
        <w:trPr/>
        <w:tc>
          <w:tcPr>
            <w:tcW w:w="5508" w:type="dxa"/>
            <w:tcBorders>
              <w:top w:val="single" w:sz="6" w:space="0" w:color="000000"/>
              <w:bottom w:val="single" w:sz="4" w:space="0" w:color="000000"/>
              <w:end w:val="single" w:sz="4" w:space="0" w:color="000000"/>
            </w:tcBorders>
          </w:tcPr>
          <w:p>
            <w:pPr>
              <w:pStyle w:val="Normal"/>
              <w:rPr>
                <w:sz w:val="20"/>
              </w:rPr>
            </w:pPr>
            <w:r>
              <w:rPr>
                <w:sz w:val="20"/>
              </w:rPr>
              <w:t>Application of Southern California Edison Company (U 338-E) to:  1) consolidated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tc>
        <w:tc>
          <w:tcPr>
            <w:tcW w:w="4068" w:type="dxa"/>
            <w:tcBorders>
              <w:start w:val="single" w:sz="4" w:space="0" w:color="000000"/>
            </w:tcBorders>
          </w:tcPr>
          <w:p>
            <w:pPr>
              <w:pStyle w:val="Normal"/>
              <w:snapToGrid w:val="false"/>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Application 98-07-026</w:t>
            </w:r>
          </w:p>
          <w:p>
            <w:pPr>
              <w:pStyle w:val="Normal"/>
              <w:rPr>
                <w:sz w:val="20"/>
              </w:rPr>
            </w:pPr>
            <w:r>
              <w:rPr>
                <w:sz w:val="20"/>
              </w:rPr>
              <w:t>(Filed July 1, 1998)</w:t>
            </w:r>
          </w:p>
        </w:tc>
      </w:tr>
    </w:tbl>
    <w:p>
      <w:pPr>
        <w:pStyle w:val="Normal"/>
        <w:jc w:val="center"/>
        <w:rPr>
          <w:b/>
          <w:bCs/>
        </w:rPr>
      </w:pPr>
      <w:r>
        <w:rPr>
          <w:b/>
          <w:bCs/>
        </w:rPr>
      </w:r>
    </w:p>
    <w:p>
      <w:pPr>
        <w:pStyle w:val="Normal"/>
        <w:jc w:val="center"/>
        <w:rPr>
          <w:b/>
          <w:bCs/>
        </w:rPr>
      </w:pPr>
      <w:r>
        <w:rPr>
          <w:b/>
          <w:bCs/>
        </w:rPr>
        <w:t xml:space="preserve">APPLICATION FOR REHEARING OF THE </w:t>
      </w:r>
    </w:p>
    <w:p>
      <w:pPr>
        <w:pStyle w:val="Normal"/>
        <w:jc w:val="center"/>
        <w:rPr>
          <w:b/>
          <w:bCs/>
        </w:rPr>
      </w:pPr>
      <w:r>
        <w:rPr>
          <w:b/>
          <w:bCs/>
        </w:rPr>
        <w:t>CALIFORNIA MANUFACTURERS &amp;  TECHNOLOGY ASSOCIATION,</w:t>
      </w:r>
    </w:p>
    <w:p>
      <w:pPr>
        <w:pStyle w:val="Normal"/>
        <w:jc w:val="center"/>
        <w:rPr>
          <w:b/>
          <w:bCs/>
        </w:rPr>
      </w:pPr>
      <w:r>
        <w:rPr>
          <w:b/>
          <w:bCs/>
        </w:rPr>
        <w:t xml:space="preserve">CALIFORNIA INDUSTRIAL USERS AND </w:t>
      </w:r>
    </w:p>
    <w:p>
      <w:pPr>
        <w:pStyle w:val="Normal"/>
        <w:jc w:val="center"/>
        <w:rPr>
          <w:b/>
          <w:bCs/>
        </w:rPr>
      </w:pPr>
      <w:r>
        <w:rPr>
          <w:b/>
          <w:bCs/>
        </w:rPr>
        <w:t>CALIFORNIA LARGE ENERGY CONSUMERS ASSOCIATION</w:t>
      </w:r>
    </w:p>
    <w:p>
      <w:pPr>
        <w:pStyle w:val="Normal"/>
        <w:jc w:val="center"/>
        <w:rPr>
          <w:b/>
          <w:bCs/>
        </w:rPr>
      </w:pPr>
      <w:r>
        <w:rPr>
          <w:b/>
          <w:bCs/>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t>William H. Booth</w:t>
            </w:r>
          </w:p>
          <w:p>
            <w:pPr>
              <w:pStyle w:val="Normal"/>
              <w:rPr>
                <w:smallCaps/>
              </w:rPr>
            </w:pPr>
            <w:r>
              <w:rPr>
                <w:smallCaps/>
              </w:rPr>
              <w:t>Law Offices of William H. Booth</w:t>
            </w:r>
          </w:p>
          <w:p>
            <w:pPr>
              <w:pStyle w:val="Normal"/>
              <w:rPr/>
            </w:pPr>
            <w:r>
              <w:rPr/>
              <w:t>1500 Newell Ave., 5</w:t>
            </w:r>
            <w:r>
              <w:rPr>
                <w:vertAlign w:val="superscript"/>
              </w:rPr>
              <w:t>th</w:t>
            </w:r>
            <w:r>
              <w:rPr/>
              <w:t xml:space="preserve"> Floor</w:t>
            </w:r>
          </w:p>
          <w:p>
            <w:pPr>
              <w:pStyle w:val="Normal"/>
              <w:rPr/>
            </w:pPr>
            <w:r>
              <w:rPr/>
              <w:t>Walnut Creek, CA 94596</w:t>
            </w:r>
          </w:p>
          <w:p>
            <w:pPr>
              <w:pStyle w:val="Normal"/>
              <w:rPr/>
            </w:pPr>
            <w:r>
              <w:rPr/>
              <w:t>(925) 296-2460</w:t>
            </w:r>
          </w:p>
          <w:p>
            <w:pPr>
              <w:pStyle w:val="Normal"/>
              <w:rPr>
                <w:i/>
                <w:i/>
                <w:iCs/>
              </w:rPr>
            </w:pPr>
            <w:r>
              <w:rPr>
                <w:i/>
                <w:iCs/>
              </w:rPr>
              <w:t>Attorney for California Large</w:t>
            </w:r>
          </w:p>
          <w:p>
            <w:pPr>
              <w:pStyle w:val="Normal"/>
              <w:rPr>
                <w:i/>
                <w:i/>
                <w:iCs/>
              </w:rPr>
            </w:pPr>
            <w:r>
              <w:rPr>
                <w:i/>
                <w:iCs/>
              </w:rPr>
              <w:t>Energy Consumers Association</w:t>
            </w:r>
          </w:p>
        </w:tc>
        <w:tc>
          <w:tcPr>
            <w:tcW w:w="4788" w:type="dxa"/>
            <w:tcBorders/>
          </w:tcPr>
          <w:p>
            <w:pPr>
              <w:pStyle w:val="Normal"/>
              <w:rPr/>
            </w:pPr>
            <w:r>
              <w:rPr/>
              <w:t>Keith R. McCrea</w:t>
            </w:r>
          </w:p>
          <w:p>
            <w:pPr>
              <w:pStyle w:val="Normal"/>
              <w:rPr>
                <w:smallCaps/>
              </w:rPr>
            </w:pPr>
            <w:r>
              <w:rPr>
                <w:smallCaps/>
              </w:rPr>
              <w:t>Sutherland Asbill &amp; Brennan LLP</w:t>
            </w:r>
          </w:p>
          <w:p>
            <w:pPr>
              <w:pStyle w:val="Normal"/>
              <w:rPr/>
            </w:pPr>
            <w:r>
              <w:rPr/>
              <w:t>1275 Pennsylvania Avenue, N.W.</w:t>
            </w:r>
          </w:p>
          <w:p>
            <w:pPr>
              <w:pStyle w:val="Normal"/>
              <w:rPr/>
            </w:pPr>
            <w:r>
              <w:rPr/>
              <w:t>Washington, D.C.  20004</w:t>
            </w:r>
          </w:p>
          <w:p>
            <w:pPr>
              <w:pStyle w:val="Normal"/>
              <w:rPr/>
            </w:pPr>
            <w:r>
              <w:rPr/>
              <w:t>(202) 383-0100</w:t>
            </w:r>
          </w:p>
          <w:p>
            <w:pPr>
              <w:pStyle w:val="Normal"/>
              <w:rPr>
                <w:i/>
                <w:i/>
                <w:iCs/>
              </w:rPr>
            </w:pPr>
            <w:r>
              <w:rPr>
                <w:i/>
                <w:iCs/>
              </w:rPr>
              <w:t>Attorneys for the</w:t>
            </w:r>
          </w:p>
          <w:p>
            <w:pPr>
              <w:pStyle w:val="Normal"/>
              <w:rPr>
                <w:i/>
                <w:i/>
                <w:iCs/>
              </w:rPr>
            </w:pPr>
            <w:r>
              <w:rPr>
                <w:i/>
                <w:iCs/>
              </w:rPr>
              <w:t xml:space="preserve">California Manufacturers &amp; </w:t>
            </w:r>
          </w:p>
          <w:p>
            <w:pPr>
              <w:pStyle w:val="Normal"/>
              <w:rPr>
                <w:i/>
                <w:i/>
                <w:iCs/>
              </w:rPr>
            </w:pPr>
            <w:r>
              <w:rPr>
                <w:i/>
                <w:iCs/>
              </w:rPr>
              <w:t>Technology Association</w:t>
            </w:r>
          </w:p>
        </w:tc>
      </w:tr>
      <w:tr>
        <w:trPr/>
        <w:tc>
          <w:tcPr>
            <w:tcW w:w="4788" w:type="dxa"/>
            <w:tcBorders/>
          </w:tcPr>
          <w:p>
            <w:pPr>
              <w:pStyle w:val="Normal"/>
              <w:rPr/>
            </w:pPr>
            <w:r>
              <w:rPr/>
              <w:t>Philip A. Stohr</w:t>
            </w:r>
          </w:p>
          <w:p>
            <w:pPr>
              <w:pStyle w:val="Normal"/>
              <w:rPr/>
            </w:pPr>
            <w:r>
              <w:rPr/>
              <w:t>Dan Carroll</w:t>
            </w:r>
          </w:p>
          <w:p>
            <w:pPr>
              <w:pStyle w:val="Normal"/>
              <w:rPr/>
            </w:pPr>
            <w:r>
              <w:rPr/>
              <w:t>Ann  Trowbridge</w:t>
            </w:r>
          </w:p>
          <w:p>
            <w:pPr>
              <w:pStyle w:val="Normal"/>
              <w:rPr>
                <w:smallCaps/>
              </w:rPr>
            </w:pPr>
            <w:r>
              <w:rPr>
                <w:smallCaps/>
              </w:rPr>
              <w:t>Downey Brand Seymour &amp; Rohwer LLP</w:t>
            </w:r>
          </w:p>
          <w:p>
            <w:pPr>
              <w:pStyle w:val="Normal"/>
              <w:rPr/>
            </w:pPr>
            <w:r>
              <w:rPr/>
              <w:t>555 Capitol Mall, 10</w:t>
            </w:r>
            <w:r>
              <w:rPr>
                <w:vertAlign w:val="superscript"/>
              </w:rPr>
              <w:t>th</w:t>
            </w:r>
            <w:r>
              <w:rPr/>
              <w:t xml:space="preserve"> Floor</w:t>
            </w:r>
          </w:p>
          <w:p>
            <w:pPr>
              <w:pStyle w:val="Normal"/>
              <w:rPr/>
            </w:pPr>
            <w:r>
              <w:rPr/>
              <w:t>Sacramento, CA 95814-4686</w:t>
            </w:r>
          </w:p>
          <w:p>
            <w:pPr>
              <w:pStyle w:val="Normal"/>
              <w:rPr/>
            </w:pPr>
            <w:r>
              <w:rPr/>
              <w:t>(916) 441-0131</w:t>
            </w:r>
          </w:p>
          <w:p>
            <w:pPr>
              <w:pStyle w:val="Normal"/>
              <w:rPr>
                <w:i/>
                <w:i/>
                <w:iCs/>
              </w:rPr>
            </w:pPr>
            <w:r>
              <w:rPr>
                <w:i/>
                <w:iCs/>
              </w:rPr>
              <w:t>Attorneys for the</w:t>
            </w:r>
          </w:p>
          <w:p>
            <w:pPr>
              <w:pStyle w:val="Normal"/>
              <w:rPr>
                <w:i/>
                <w:i/>
                <w:iCs/>
              </w:rPr>
            </w:pPr>
            <w:r>
              <w:rPr>
                <w:i/>
                <w:iCs/>
              </w:rPr>
              <w:t>California Industrial Users</w:t>
            </w:r>
          </w:p>
          <w:p>
            <w:pPr>
              <w:pStyle w:val="Normal"/>
              <w:rPr>
                <w:i/>
                <w:i/>
                <w:iCs/>
              </w:rPr>
            </w:pPr>
            <w:r>
              <w:rPr>
                <w:i/>
                <w:iCs/>
              </w:rPr>
            </w:r>
          </w:p>
        </w:tc>
        <w:tc>
          <w:tcPr>
            <w:tcW w:w="4788" w:type="dxa"/>
            <w:tcBorders/>
          </w:tcPr>
          <w:p>
            <w:pPr>
              <w:pStyle w:val="Normal"/>
              <w:snapToGrid w:val="false"/>
              <w:rPr/>
            </w:pPr>
            <w:r>
              <w:rPr/>
            </w:r>
          </w:p>
        </w:tc>
      </w:tr>
    </w:tbl>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rPr/>
      </w:pPr>
      <w:r>
        <w:rPr/>
        <w:t xml:space="preserve">September 28, 2001    </w:t>
      </w:r>
    </w:p>
    <w:p>
      <w:pPr>
        <w:pStyle w:val="Normal"/>
        <w:jc w:val="center"/>
        <w:rPr>
          <w:b/>
          <w:bCs/>
        </w:rPr>
      </w:pPr>
      <w:r>
        <w:rPr>
          <w:b/>
          <w:bCs/>
        </w:rPr>
        <w:t>BEFORE THE</w:t>
      </w:r>
    </w:p>
    <w:p>
      <w:pPr>
        <w:pStyle w:val="Normal"/>
        <w:jc w:val="center"/>
        <w:rPr>
          <w:b/>
          <w:bCs/>
        </w:rPr>
      </w:pPr>
      <w:r>
        <w:rPr>
          <w:b/>
          <w:bCs/>
        </w:rPr>
        <w:t>PUBLIC UTILITIES COMMISSION</w:t>
      </w:r>
    </w:p>
    <w:p>
      <w:pPr>
        <w:pStyle w:val="Normal"/>
        <w:jc w:val="center"/>
        <w:rPr>
          <w:b/>
          <w:bCs/>
        </w:rPr>
      </w:pPr>
      <w:r>
        <w:rPr>
          <w:b/>
          <w:bCs/>
        </w:rPr>
        <w:t>OF THE</w:t>
      </w:r>
    </w:p>
    <w:p>
      <w:pPr>
        <w:pStyle w:val="Normal"/>
        <w:jc w:val="center"/>
        <w:rPr>
          <w:b/>
          <w:bCs/>
        </w:rPr>
      </w:pPr>
      <w:r>
        <w:rPr>
          <w:b/>
          <w:bCs/>
        </w:rPr>
        <w:t>STATE OF CALIFORNIA</w:t>
      </w:r>
    </w:p>
    <w:p>
      <w:pPr>
        <w:pStyle w:val="Normal"/>
        <w:jc w:val="center"/>
        <w:rPr>
          <w:b/>
          <w:bCs/>
        </w:rPr>
      </w:pPr>
      <w:r>
        <w:rPr>
          <w:b/>
          <w:bCs/>
        </w:rPr>
      </w:r>
    </w:p>
    <w:tbl>
      <w:tblPr>
        <w:tblW w:w="9576" w:type="dxa"/>
        <w:jc w:val="start"/>
        <w:tblInd w:w="0" w:type="dxa"/>
        <w:tblLayout w:type="fixed"/>
        <w:tblCellMar>
          <w:top w:w="0" w:type="dxa"/>
          <w:start w:w="108" w:type="dxa"/>
          <w:bottom w:w="0" w:type="dxa"/>
          <w:end w:w="108" w:type="dxa"/>
        </w:tblCellMar>
      </w:tblPr>
      <w:tblGrid>
        <w:gridCol w:w="5508"/>
        <w:gridCol w:w="4068"/>
      </w:tblGrid>
      <w:tr>
        <w:trPr/>
        <w:tc>
          <w:tcPr>
            <w:tcW w:w="5508" w:type="dxa"/>
            <w:tcBorders>
              <w:top w:val="single" w:sz="6" w:space="0" w:color="000000"/>
              <w:bottom w:val="single" w:sz="6" w:space="0" w:color="000000"/>
              <w:end w:val="single" w:sz="6" w:space="0" w:color="000000"/>
            </w:tcBorders>
          </w:tcPr>
          <w:p>
            <w:pPr>
              <w:pStyle w:val="Normal"/>
              <w:rPr>
                <w:sz w:val="20"/>
              </w:rPr>
            </w:pPr>
            <w:r>
              <w:rPr>
                <w:sz w:val="20"/>
              </w:rPr>
              <w:t>Application of Pacific Gas and Electric Company for verification, consolidation, and approval of costs and revenues in the transition revenue account.</w:t>
            </w:r>
          </w:p>
          <w:p>
            <w:pPr>
              <w:pStyle w:val="Normal"/>
              <w:rPr>
                <w:sz w:val="20"/>
              </w:rPr>
            </w:pPr>
            <w:r>
              <w:rPr>
                <w:sz w:val="20"/>
              </w:rPr>
            </w:r>
          </w:p>
        </w:tc>
        <w:tc>
          <w:tcPr>
            <w:tcW w:w="4068" w:type="dxa"/>
            <w:tcBorders>
              <w:start w:val="single" w:sz="6" w:space="0" w:color="000000"/>
            </w:tcBorders>
          </w:tcPr>
          <w:p>
            <w:pPr>
              <w:pStyle w:val="Normal"/>
              <w:snapToGrid w:val="false"/>
              <w:rPr>
                <w:sz w:val="20"/>
              </w:rPr>
            </w:pPr>
            <w:r>
              <w:rPr>
                <w:sz w:val="20"/>
              </w:rPr>
            </w:r>
          </w:p>
          <w:p>
            <w:pPr>
              <w:pStyle w:val="Normal"/>
              <w:rPr>
                <w:sz w:val="20"/>
              </w:rPr>
            </w:pPr>
            <w:r>
              <w:rPr>
                <w:sz w:val="20"/>
              </w:rPr>
              <w:t>Application 98-07-003</w:t>
            </w:r>
          </w:p>
          <w:p>
            <w:pPr>
              <w:pStyle w:val="Normal"/>
              <w:rPr>
                <w:sz w:val="20"/>
              </w:rPr>
            </w:pPr>
            <w:r>
              <w:rPr>
                <w:sz w:val="20"/>
              </w:rPr>
              <w:t>(Filed July 1, 1998)</w:t>
            </w:r>
          </w:p>
          <w:p>
            <w:pPr>
              <w:pStyle w:val="Normal"/>
              <w:rPr>
                <w:sz w:val="20"/>
              </w:rPr>
            </w:pPr>
            <w:r>
              <w:rPr>
                <w:sz w:val="20"/>
              </w:rPr>
            </w:r>
          </w:p>
        </w:tc>
      </w:tr>
      <w:tr>
        <w:trPr/>
        <w:tc>
          <w:tcPr>
            <w:tcW w:w="5508" w:type="dxa"/>
            <w:tcBorders>
              <w:top w:val="single" w:sz="6" w:space="0" w:color="000000"/>
              <w:bottom w:val="single" w:sz="6" w:space="0" w:color="000000"/>
              <w:end w:val="single" w:sz="6" w:space="0" w:color="000000"/>
            </w:tcBorders>
          </w:tcPr>
          <w:p>
            <w:pPr>
              <w:pStyle w:val="Normal"/>
              <w:snapToGrid w:val="false"/>
              <w:rPr>
                <w:sz w:val="20"/>
              </w:rPr>
            </w:pPr>
            <w:r>
              <w:rPr>
                <w:sz w:val="20"/>
              </w:rPr>
            </w:r>
          </w:p>
          <w:p>
            <w:pPr>
              <w:pStyle w:val="Normal"/>
              <w:rPr>
                <w:sz w:val="20"/>
              </w:rPr>
            </w:pPr>
            <w:r>
              <w:rPr>
                <w:sz w:val="20"/>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 memorandum accounts; and 6) electric revenue allocation and rate design changes.</w:t>
            </w:r>
          </w:p>
          <w:p>
            <w:pPr>
              <w:pStyle w:val="Normal"/>
              <w:rPr>
                <w:sz w:val="20"/>
              </w:rPr>
            </w:pPr>
            <w:r>
              <w:rPr>
                <w:sz w:val="20"/>
              </w:rPr>
            </w:r>
          </w:p>
        </w:tc>
        <w:tc>
          <w:tcPr>
            <w:tcW w:w="4068" w:type="dxa"/>
            <w:tcBorders>
              <w:start w:val="single" w:sz="6" w:space="0" w:color="000000"/>
            </w:tcBorders>
          </w:tcPr>
          <w:p>
            <w:pPr>
              <w:pStyle w:val="Normal"/>
              <w:snapToGrid w:val="false"/>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Application 98-07-006</w:t>
            </w:r>
          </w:p>
          <w:p>
            <w:pPr>
              <w:pStyle w:val="Normal"/>
              <w:rPr>
                <w:sz w:val="20"/>
              </w:rPr>
            </w:pPr>
            <w:r>
              <w:rPr>
                <w:sz w:val="20"/>
              </w:rPr>
              <w:t>(Filed July 1, 1998)</w:t>
            </w:r>
          </w:p>
        </w:tc>
      </w:tr>
      <w:tr>
        <w:trPr/>
        <w:tc>
          <w:tcPr>
            <w:tcW w:w="5508" w:type="dxa"/>
            <w:tcBorders>
              <w:top w:val="single" w:sz="6" w:space="0" w:color="000000"/>
              <w:bottom w:val="single" w:sz="6" w:space="0" w:color="000000"/>
              <w:end w:val="single" w:sz="6" w:space="0" w:color="000000"/>
            </w:tcBorders>
          </w:tcPr>
          <w:p>
            <w:pPr>
              <w:pStyle w:val="Normal"/>
              <w:snapToGrid w:val="false"/>
              <w:rPr>
                <w:sz w:val="20"/>
              </w:rPr>
            </w:pPr>
            <w:r>
              <w:rPr>
                <w:sz w:val="20"/>
              </w:rPr>
            </w:r>
          </w:p>
          <w:p>
            <w:pPr>
              <w:pStyle w:val="Normal"/>
              <w:rPr>
                <w:sz w:val="20"/>
              </w:rPr>
            </w:pPr>
            <w:r>
              <w:rPr>
                <w:sz w:val="20"/>
              </w:rPr>
              <w:t>Application of Southern California Edison Company (U 338-E) to:  1) consolidated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0"/>
              </w:rPr>
            </w:pPr>
            <w:r>
              <w:rPr>
                <w:sz w:val="20"/>
              </w:rPr>
            </w:r>
          </w:p>
        </w:tc>
        <w:tc>
          <w:tcPr>
            <w:tcW w:w="4068" w:type="dxa"/>
            <w:tcBorders>
              <w:start w:val="single" w:sz="6" w:space="0" w:color="000000"/>
            </w:tcBorders>
          </w:tcPr>
          <w:p>
            <w:pPr>
              <w:pStyle w:val="Normal"/>
              <w:snapToGrid w:val="false"/>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Application 98-07-026</w:t>
            </w:r>
          </w:p>
          <w:p>
            <w:pPr>
              <w:pStyle w:val="Normal"/>
              <w:rPr>
                <w:sz w:val="20"/>
              </w:rPr>
            </w:pPr>
            <w:r>
              <w:rPr>
                <w:sz w:val="20"/>
              </w:rPr>
              <w:t>(Filed July 1, 1998)</w:t>
            </w:r>
          </w:p>
        </w:tc>
      </w:tr>
    </w:tbl>
    <w:p>
      <w:pPr>
        <w:pStyle w:val="Normal"/>
        <w:rPr/>
      </w:pPr>
      <w:r>
        <w:rPr/>
      </w:r>
    </w:p>
    <w:p>
      <w:pPr>
        <w:pStyle w:val="Normal"/>
        <w:jc w:val="center"/>
        <w:rPr>
          <w:b/>
          <w:bCs/>
        </w:rPr>
      </w:pPr>
      <w:r>
        <w:rPr>
          <w:b/>
          <w:bCs/>
        </w:rPr>
        <w:t xml:space="preserve">APPLICATION FOR REHEARING OF THE </w:t>
      </w:r>
    </w:p>
    <w:p>
      <w:pPr>
        <w:pStyle w:val="Normal"/>
        <w:jc w:val="center"/>
        <w:rPr>
          <w:b/>
          <w:bCs/>
        </w:rPr>
      </w:pPr>
      <w:r>
        <w:rPr>
          <w:b/>
          <w:bCs/>
        </w:rPr>
        <w:t>CALIFORNIA MANUFACTURERS &amp;  TECHNOLOGY ASSOCIATION,</w:t>
      </w:r>
    </w:p>
    <w:p>
      <w:pPr>
        <w:pStyle w:val="Normal"/>
        <w:jc w:val="center"/>
        <w:rPr>
          <w:b/>
          <w:bCs/>
        </w:rPr>
      </w:pPr>
      <w:r>
        <w:rPr>
          <w:b/>
          <w:bCs/>
        </w:rPr>
        <w:t xml:space="preserve">CALIFORNIA INDUSTRIAL USERS AND </w:t>
      </w:r>
    </w:p>
    <w:p>
      <w:pPr>
        <w:pStyle w:val="Normal"/>
        <w:jc w:val="center"/>
        <w:rPr>
          <w:b/>
          <w:bCs/>
        </w:rPr>
      </w:pPr>
      <w:r>
        <w:rPr>
          <w:b/>
          <w:bCs/>
        </w:rPr>
        <w:t>CALIFORNIA LARGE ENERGY CONSUMERS ASSOCIATION</w:t>
      </w:r>
    </w:p>
    <w:p>
      <w:pPr>
        <w:pStyle w:val="Normal"/>
        <w:rPr>
          <w:b/>
          <w:bCs/>
        </w:rPr>
      </w:pPr>
      <w:r>
        <w:rPr>
          <w:b/>
          <w:bCs/>
        </w:rPr>
      </w:r>
    </w:p>
    <w:p>
      <w:pPr>
        <w:pStyle w:val="BodyText"/>
        <w:rPr/>
      </w:pPr>
      <w:r>
        <w:rPr/>
        <w:t>Pursuant to Rule 85 of the Commission’s Rules of Practice and Procedure and Section 1731(c) of the Public Utilities Code, the California Manufacturers &amp; Technology Association (“CMTA”), California Industrial Users (“CIU”) and California Large Energy Consumers Association (“CLECA”) hereby jointly apply for rehearing of Decision 01-09-060, issued September 20, 2001.</w:t>
      </w:r>
    </w:p>
    <w:p>
      <w:pPr>
        <w:pStyle w:val="Heading1"/>
        <w:rPr/>
      </w:pPr>
      <w:r>
        <w:rPr/>
        <w:t>grounds for rehearing</w:t>
      </w:r>
    </w:p>
    <w:p>
      <w:pPr>
        <w:pStyle w:val="BodyText"/>
        <w:rPr/>
      </w:pPr>
      <w:r>
        <w:rPr/>
        <w:t>CMTA, CIU and CLECA submit that rehearing is appropriate for the following reasons:</w:t>
      </w:r>
    </w:p>
    <w:p>
      <w:pPr>
        <w:pStyle w:val="Normal"/>
        <w:numPr>
          <w:ilvl w:val="0"/>
          <w:numId w:val="2"/>
        </w:numPr>
        <w:rPr/>
      </w:pPr>
      <w:r>
        <w:rPr/>
        <w:t>The failure of the Commission to convene evidentiary hearings prior to taking action to suspend direct access violates Section 1708.5(f) of the Public Utilities Code.</w:t>
      </w:r>
    </w:p>
    <w:p>
      <w:pPr>
        <w:pStyle w:val="Normal"/>
        <w:rPr/>
      </w:pPr>
      <w:r>
        <w:rPr/>
      </w:r>
    </w:p>
    <w:p>
      <w:pPr>
        <w:pStyle w:val="Normal"/>
        <w:rPr/>
      </w:pPr>
      <w:r>
        <w:rPr/>
      </w:r>
    </w:p>
    <w:p>
      <w:pPr>
        <w:pStyle w:val="Normal"/>
        <w:numPr>
          <w:ilvl w:val="0"/>
          <w:numId w:val="2"/>
        </w:numPr>
        <w:rPr/>
      </w:pPr>
      <w:r>
        <w:rPr/>
        <w:t>The Decision fails to make the necessary findings of fact to justify suspension of direct access, and the conclusory statements contained in the body of the Decision have no record support.</w:t>
      </w:r>
    </w:p>
    <w:p>
      <w:pPr>
        <w:pStyle w:val="Normal"/>
        <w:ind w:start="720" w:end="0"/>
        <w:rPr/>
      </w:pPr>
      <w:r>
        <w:rPr/>
      </w:r>
    </w:p>
    <w:p>
      <w:pPr>
        <w:pStyle w:val="BodyText"/>
        <w:rPr/>
      </w:pPr>
      <w:r>
        <w:rPr/>
        <w:t>CMTA, CIU and CLECA respectfully request that the Commission grant rehearing and convene evidentiary hearings before any decision is made on the suspension of direct access.</w:t>
      </w:r>
    </w:p>
    <w:p>
      <w:pPr>
        <w:pStyle w:val="Heading1"/>
        <w:rPr>
          <w:caps w:val="false"/>
          <w:smallCaps w:val="false"/>
        </w:rPr>
      </w:pPr>
      <w:r>
        <w:rPr/>
        <w:t>section 1708.5</w:t>
      </w:r>
      <w:r>
        <w:rPr>
          <w:caps w:val="false"/>
          <w:smallCaps w:val="false"/>
        </w:rPr>
        <w:t xml:space="preserve">(f) OF THE PUC CODE REQUIRES THAT EVIDENTIARY HEARINGS BE HELD PRIOR TO TAKING ACTION IN THIS MATTER </w:t>
      </w:r>
    </w:p>
    <w:p>
      <w:pPr>
        <w:pStyle w:val="BodyText"/>
        <w:rPr/>
      </w:pPr>
      <w:r>
        <w:rPr/>
        <w:t xml:space="preserve">Section 1708.5(f) states:  </w:t>
      </w:r>
    </w:p>
    <w:p>
      <w:pPr>
        <w:pStyle w:val="BlockText"/>
        <w:rPr/>
      </w:pPr>
      <w:r>
        <w:rPr/>
        <w:t>Notwithstanding Section 1708, the Commission may conduct any proceeding to adopt, amend, or repeal a regulation using notice and comment rulemaking procedures, without an evidentiary hearing, except with respect to a regulation being amended or repealed that was adopted after an evidentiary hearing, in which case the parties to the original proceeding shall retain any right to an evidentiary hearing accorded by Section 1708.</w:t>
      </w:r>
    </w:p>
    <w:p>
      <w:pPr>
        <w:pStyle w:val="BodyText"/>
        <w:rPr/>
      </w:pPr>
      <w:r>
        <w:rPr/>
        <w:t>Many of the tariffs, regulations and rules governing direct access were adopted only after evidentiary hearings in the captioned proceedings (</w:t>
      </w:r>
      <w:r>
        <w:rPr>
          <w:i/>
          <w:iCs/>
        </w:rPr>
        <w:t>see e.g.,</w:t>
      </w:r>
      <w:r>
        <w:rPr/>
        <w:t xml:space="preserve"> D.99-06-058), as well as in other proceedings (</w:t>
      </w:r>
      <w:r>
        <w:rPr>
          <w:i/>
          <w:iCs/>
        </w:rPr>
        <w:t xml:space="preserve">see e.g., </w:t>
      </w:r>
      <w:r>
        <w:rPr/>
        <w:t>D.97-08-056).  Therefore, prior to taking any action to alter the effectiveness of these direct access regulations and related provisions, the Commission was required to convene evidentiary hearings consistent with the original proceedings.</w:t>
      </w:r>
    </w:p>
    <w:p>
      <w:pPr>
        <w:pStyle w:val="Heading1"/>
        <w:rPr/>
      </w:pPr>
      <w:r>
        <w:rPr/>
        <w:t>the findings and evidence are not sufficient to justify the commission’s action</w:t>
      </w:r>
    </w:p>
    <w:p>
      <w:pPr>
        <w:pStyle w:val="BodyText"/>
        <w:rPr/>
      </w:pPr>
      <w:r>
        <w:rPr/>
        <w:t>Decision 01-09-060 contains only two findings of fact:</w:t>
      </w:r>
    </w:p>
    <w:p>
      <w:pPr>
        <w:pStyle w:val="Normal"/>
        <w:rPr/>
      </w:pPr>
      <w:r>
        <w:rPr/>
        <w:tab/>
        <w:t>1.</w:t>
        <w:tab/>
        <w:t>An emergency exists in the electricity market in California.</w:t>
      </w:r>
    </w:p>
    <w:p>
      <w:pPr>
        <w:pStyle w:val="Normal"/>
        <w:rPr/>
      </w:pPr>
      <w:r>
        <w:rPr/>
      </w:r>
    </w:p>
    <w:p>
      <w:pPr>
        <w:pStyle w:val="Normal"/>
        <w:ind w:hanging="720" w:start="1440" w:end="0"/>
        <w:rPr/>
      </w:pPr>
      <w:r>
        <w:rPr/>
        <w:t>2.</w:t>
        <w:tab/>
        <w:t>Pursuant to Water Code § 80110, this Commission must determine when the right of retail end use  customers to acquire service from providers shall be suspended.</w:t>
      </w:r>
    </w:p>
    <w:p>
      <w:pPr>
        <w:pStyle w:val="Normal"/>
        <w:rPr/>
      </w:pPr>
      <w:r>
        <w:rPr/>
        <w:tab/>
      </w:r>
    </w:p>
    <w:p>
      <w:pPr>
        <w:pStyle w:val="BodyText"/>
        <w:rPr/>
      </w:pPr>
      <w:r>
        <w:rPr/>
        <w:t>These findings by themselves are insufficient to justify the suspension of direct access at any time, let alone at this particular time.  The Decision utterly fails to provide a rational basis to support the action taken.  Moreover, other than the conclusory statements contained in the text of the Decision (which, in turn, were merely pulled from the DWR letter), there is no evidence or record support which explains why suspension of direct access is needed at this time.  Indeed, as the dissent of Commissioners Bilas and Duque indicates, it appears that the Commission has simply succumbed to the scare tactics of the DWR.</w:t>
      </w:r>
    </w:p>
    <w:p>
      <w:pPr>
        <w:pStyle w:val="BodyText"/>
        <w:rPr/>
      </w:pPr>
      <w:r>
        <w:rPr/>
        <w:t>The California Supreme Court has made clear that the Commission must have evidence (“expert testimony or empirical data”) and must make adequate findings under Section 1705 of the Public Utilities Code to establish a rational basis which will survive judicial review.</w:t>
      </w:r>
      <w:r>
        <w:rPr>
          <w:rStyle w:val="FootnoteCharacters"/>
          <w:rStyle w:val="FootnoteReference"/>
        </w:rPr>
        <w:footnoteReference w:id="2"/>
      </w:r>
      <w:r>
        <w:rPr/>
        <w:t xml:space="preserve">  Decision 01-09-060 fails to meet this unambiguous standard.</w:t>
      </w:r>
    </w:p>
    <w:p>
      <w:pPr>
        <w:pStyle w:val="BodyText"/>
        <w:rPr/>
      </w:pPr>
      <w:r>
        <w:rPr/>
        <w:t>Neither can the Commission credibly maintain that no material facts were presented in conjunction with its disposition of the Legislature’s AB1X directive.  To the contrary, there are clearly factual issues relating to the suspension of direct access which must be explored.  As enumerated in Commissioner Bilas’ Alternate Draft Decision (mailed on August 29, 2001), those issues include:</w:t>
      </w:r>
    </w:p>
    <w:p>
      <w:pPr>
        <w:pStyle w:val="BodyText"/>
        <w:ind w:hanging="720" w:start="1440" w:end="0"/>
        <w:rPr/>
      </w:pPr>
      <w:r>
        <w:rPr/>
        <w:t>(1)</w:t>
        <w:tab/>
        <w:t>Whether direct access could actually be helpful in decreasing the amount of power DWR must purchase to cover the utilities’ net short position, thus helping to conserve State funds expended by DWR;</w:t>
      </w:r>
    </w:p>
    <w:p>
      <w:pPr>
        <w:pStyle w:val="BodyText"/>
        <w:ind w:hanging="720" w:start="1440" w:end="0"/>
        <w:rPr/>
      </w:pPr>
      <w:r>
        <w:rPr/>
        <w:t>(2)</w:t>
        <w:tab/>
        <w:t>Whether continuation of direct access will assist in maintaining a green power market in California;</w:t>
      </w:r>
    </w:p>
    <w:p>
      <w:pPr>
        <w:pStyle w:val="BodyText"/>
        <w:ind w:hanging="720" w:start="1440" w:end="0"/>
        <w:rPr/>
      </w:pPr>
      <w:r>
        <w:rPr/>
        <w:t>(3)</w:t>
        <w:tab/>
        <w:t>Whether current direct access customers should be allowed to renew existing contracts after any suspension date;</w:t>
      </w:r>
    </w:p>
    <w:p>
      <w:pPr>
        <w:pStyle w:val="BodyText"/>
        <w:ind w:hanging="720" w:start="1440" w:end="0"/>
        <w:rPr/>
      </w:pPr>
      <w:r>
        <w:rPr/>
        <w:t>(4)</w:t>
        <w:tab/>
        <w:t>Whether direct access customers who were previously returned to the utilities by ESPs, often due to nonpayment of PX credits, should or even must be allowed to return to direct access regardless of any suspension;</w:t>
      </w:r>
    </w:p>
    <w:p>
      <w:pPr>
        <w:pStyle w:val="BodyText"/>
        <w:ind w:hanging="720" w:start="1440" w:end="0"/>
        <w:rPr/>
      </w:pPr>
      <w:r>
        <w:rPr/>
        <w:t>(5)</w:t>
        <w:tab/>
        <w:t>Whether the concerns stated by bond counsel, DWR, the Department of Finance, and the Treasurer are factually supported and therefore valid;</w:t>
      </w:r>
    </w:p>
    <w:p>
      <w:pPr>
        <w:pStyle w:val="BodyText"/>
        <w:ind w:hanging="720" w:start="1440" w:end="0"/>
        <w:rPr/>
      </w:pPr>
      <w:r>
        <w:rPr/>
        <w:t>(6)</w:t>
        <w:tab/>
        <w:t>Whether suspension of any or all direct access rights is truly necessary to enable the state to float the bonds;</w:t>
      </w:r>
    </w:p>
    <w:p>
      <w:pPr>
        <w:pStyle w:val="BodyText"/>
        <w:ind w:hanging="720" w:start="1440" w:end="0"/>
        <w:rPr/>
      </w:pPr>
      <w:r>
        <w:rPr/>
        <w:t>(7)</w:t>
        <w:tab/>
        <w:t>Whether direct access, which comprises less than 5% of load, is actually a threat to DWR and the bonds;</w:t>
      </w:r>
    </w:p>
    <w:p>
      <w:pPr>
        <w:pStyle w:val="BodyText"/>
        <w:ind w:hanging="720" w:start="1440" w:end="0"/>
        <w:rPr/>
      </w:pPr>
      <w:r>
        <w:rPr/>
        <w:t>(8)</w:t>
        <w:tab/>
        <w:t>Whether direct access may co-exist with the bonds in some percentage amount; and</w:t>
      </w:r>
    </w:p>
    <w:p>
      <w:pPr>
        <w:pStyle w:val="BodyText"/>
        <w:ind w:hanging="720" w:start="1440" w:end="0"/>
        <w:rPr/>
      </w:pPr>
      <w:r>
        <w:rPr/>
        <w:t>(9)</w:t>
        <w:tab/>
        <w:t>Whether the timing of any suspension of direct access should include phasing the suspension to permit a sliding minimum percentage of direct access sales to continue over time.</w:t>
      </w:r>
    </w:p>
    <w:p>
      <w:pPr>
        <w:pStyle w:val="BodyText"/>
        <w:ind w:hanging="0" w:end="0"/>
        <w:rPr/>
      </w:pPr>
      <w:r>
        <w:rPr/>
        <w:t>(Bilas Revised Alternate, pp. 4-5.)</w:t>
      </w:r>
    </w:p>
    <w:p>
      <w:pPr>
        <w:pStyle w:val="BodyText"/>
        <w:ind w:hanging="0" w:end="0"/>
        <w:rPr/>
      </w:pPr>
      <w:r>
        <w:rPr/>
        <w:tab/>
        <w:t xml:space="preserve">Despite the obvious pertinence of these issues, the Decision addresses </w:t>
      </w:r>
      <w:r>
        <w:rPr>
          <w:u w:val="single"/>
        </w:rPr>
        <w:t>no comment whatsoever</w:t>
      </w:r>
      <w:r>
        <w:rPr/>
        <w:t xml:space="preserve"> to the parties’ numerous requests for hearing or the Commission’s rationale, if any, for not acceding to such requests.  However, to evade the hearing issue is not to eliminate it.  The Commission’s denial of hearings on the numerous pertinent issues set forth above clearly violates the requirements of Section 1705, as interpreted by the California Supreme Court.</w:t>
      </w:r>
      <w:r>
        <w:br w:type="page"/>
      </w:r>
    </w:p>
    <w:p>
      <w:pPr>
        <w:pStyle w:val="BodyText"/>
        <w:rPr/>
      </w:pPr>
      <w:r>
        <w:rPr/>
        <w:t>WHEREFORE, for the foregoing reasons, CMTA, CIU and CLECA respectfully request that the Commission grant rehearing of D.01-09-060 and convene evidentiary hearings in this matter.</w:t>
      </w:r>
    </w:p>
    <w:p>
      <w:pPr>
        <w:pStyle w:val="Normal"/>
        <w:rPr/>
      </w:pPr>
      <w:r>
        <w:rPr/>
      </w:r>
    </w:p>
    <w:p>
      <w:pPr>
        <w:pStyle w:val="Normal"/>
        <w:ind w:firstLine="720" w:end="0"/>
        <w:rPr/>
      </w:pPr>
      <w:r>
        <w:rPr/>
        <w:tab/>
        <w:tab/>
        <w:tab/>
        <w:tab/>
        <w:t>Respectfully submitted,</w:t>
      </w:r>
    </w:p>
    <w:p>
      <w:pPr>
        <w:pStyle w:val="Normal"/>
        <w:keepNext w:val="true"/>
        <w:keepLines/>
        <w:rPr/>
      </w:pPr>
      <w:r>
        <w:rPr/>
      </w:r>
    </w:p>
    <w:p>
      <w:pPr>
        <w:pStyle w:val="Normal"/>
        <w:keepNext w:val="true"/>
        <w:keepLines/>
        <w:rPr/>
      </w:pPr>
      <w:r>
        <w:rPr/>
      </w:r>
    </w:p>
    <w:p>
      <w:pPr>
        <w:pStyle w:val="Normal"/>
        <w:keepNext w:val="true"/>
        <w:keepLines/>
        <w:rPr/>
      </w:pPr>
      <w:r>
        <w:rPr/>
        <w:tab/>
        <w:tab/>
        <w:tab/>
        <w:tab/>
      </w:r>
    </w:p>
    <w:p>
      <w:pPr>
        <w:pStyle w:val="Normal"/>
        <w:keepNext w:val="true"/>
        <w:keepLines/>
        <w:rPr/>
      </w:pPr>
      <w:r>
        <w:rPr/>
        <w:tab/>
        <w:tab/>
        <w:tab/>
        <w:tab/>
        <w:tab/>
        <w:t>______________________________</w:t>
      </w:r>
    </w:p>
    <w:p>
      <w:pPr>
        <w:pStyle w:val="Normal"/>
        <w:keepNext w:val="true"/>
        <w:keepLines/>
        <w:rPr/>
      </w:pPr>
      <w:r>
        <w:rPr/>
        <w:tab/>
        <w:tab/>
        <w:tab/>
        <w:tab/>
        <w:tab/>
        <w:t>Keith R. McCrea</w:t>
      </w:r>
    </w:p>
    <w:p>
      <w:pPr>
        <w:pStyle w:val="Normal"/>
        <w:keepNext w:val="true"/>
        <w:keepLines/>
        <w:rPr/>
      </w:pPr>
      <w:r>
        <w:rPr/>
        <w:tab/>
        <w:tab/>
        <w:tab/>
        <w:tab/>
        <w:tab/>
      </w:r>
      <w:r>
        <w:rPr>
          <w:smallCaps/>
        </w:rPr>
        <w:t>Sutherland Asbill &amp; Brennan LLP</w:t>
      </w:r>
    </w:p>
    <w:p>
      <w:pPr>
        <w:pStyle w:val="Normal"/>
        <w:keepNext w:val="true"/>
        <w:keepLines/>
        <w:rPr/>
      </w:pPr>
      <w:r>
        <w:rPr/>
        <w:tab/>
        <w:tab/>
        <w:tab/>
        <w:tab/>
        <w:tab/>
        <w:t>1275 Pennsylvania Avenue, N.W.</w:t>
      </w:r>
    </w:p>
    <w:p>
      <w:pPr>
        <w:pStyle w:val="Normal"/>
        <w:keepNext w:val="true"/>
        <w:keepLines/>
        <w:rPr/>
      </w:pPr>
      <w:r>
        <w:rPr/>
        <w:tab/>
        <w:tab/>
        <w:tab/>
        <w:tab/>
        <w:tab/>
        <w:t>Washington, D.C. 20004</w:t>
      </w:r>
    </w:p>
    <w:p>
      <w:pPr>
        <w:pStyle w:val="Normal"/>
        <w:keepNext w:val="true"/>
        <w:keepLines/>
        <w:rPr/>
      </w:pPr>
      <w:r>
        <w:rPr/>
        <w:tab/>
        <w:tab/>
        <w:tab/>
        <w:tab/>
        <w:tab/>
        <w:t>(202) 383-0100</w:t>
      </w:r>
    </w:p>
    <w:p>
      <w:pPr>
        <w:pStyle w:val="Normal"/>
        <w:keepNext w:val="true"/>
        <w:keepLines/>
        <w:rPr/>
      </w:pPr>
      <w:r>
        <w:rPr/>
        <w:tab/>
        <w:tab/>
        <w:tab/>
      </w:r>
      <w:r>
        <w:rPr>
          <w:i/>
        </w:rPr>
        <w:tab/>
        <w:tab/>
        <w:t>Attorney for the</w:t>
      </w:r>
    </w:p>
    <w:p>
      <w:pPr>
        <w:pStyle w:val="Normal"/>
        <w:keepNext w:val="true"/>
        <w:keepLines/>
        <w:ind w:firstLine="720" w:end="0"/>
        <w:rPr>
          <w:i/>
          <w:i/>
          <w:iCs/>
        </w:rPr>
      </w:pPr>
      <w:r>
        <w:rPr>
          <w:i/>
          <w:iCs/>
        </w:rPr>
        <w:tab/>
        <w:tab/>
        <w:tab/>
        <w:tab/>
        <w:t>California Manufacturers &amp; Technology Association</w:t>
      </w:r>
    </w:p>
    <w:p>
      <w:pPr>
        <w:pStyle w:val="Normal"/>
        <w:keepNext w:val="true"/>
        <w:keepLines/>
        <w:ind w:firstLine="720" w:end="0"/>
        <w:rPr>
          <w:i/>
          <w:i/>
          <w:iCs/>
        </w:rPr>
      </w:pPr>
      <w:r>
        <w:rPr>
          <w:i/>
          <w:iCs/>
        </w:rPr>
      </w:r>
    </w:p>
    <w:p>
      <w:pPr>
        <w:pStyle w:val="Normal"/>
        <w:rPr/>
      </w:pPr>
      <w:r>
        <w:rPr>
          <w:i/>
          <w:iCs/>
        </w:rPr>
        <w:tab/>
        <w:tab/>
        <w:tab/>
        <w:tab/>
        <w:tab/>
      </w:r>
      <w:r>
        <w:rPr/>
        <w:t>William H. Booth</w:t>
      </w:r>
    </w:p>
    <w:p>
      <w:pPr>
        <w:pStyle w:val="Normal"/>
        <w:ind w:firstLine="720" w:start="2880" w:end="0"/>
        <w:rPr>
          <w:smallCaps/>
        </w:rPr>
      </w:pPr>
      <w:r>
        <w:rPr>
          <w:smallCaps/>
        </w:rPr>
        <w:t>Law Offices of William H. Booth</w:t>
      </w:r>
    </w:p>
    <w:p>
      <w:pPr>
        <w:pStyle w:val="Normal"/>
        <w:ind w:firstLine="720" w:start="2880" w:end="0"/>
        <w:rPr/>
      </w:pPr>
      <w:r>
        <w:rPr/>
        <w:t>1500 Newell Ave., 5</w:t>
      </w:r>
      <w:r>
        <w:rPr>
          <w:vertAlign w:val="superscript"/>
        </w:rPr>
        <w:t>th</w:t>
      </w:r>
      <w:r>
        <w:rPr/>
        <w:t xml:space="preserve"> Floor</w:t>
      </w:r>
    </w:p>
    <w:p>
      <w:pPr>
        <w:pStyle w:val="Normal"/>
        <w:ind w:firstLine="720" w:start="2880" w:end="0"/>
        <w:rPr/>
      </w:pPr>
      <w:r>
        <w:rPr/>
        <w:t>Walnut Creek, CA 94596</w:t>
      </w:r>
    </w:p>
    <w:p>
      <w:pPr>
        <w:pStyle w:val="Normal"/>
        <w:ind w:firstLine="720" w:start="2880" w:end="0"/>
        <w:rPr/>
      </w:pPr>
      <w:r>
        <w:rPr/>
        <w:t>(925) 296-2460</w:t>
      </w:r>
    </w:p>
    <w:p>
      <w:pPr>
        <w:pStyle w:val="Normal"/>
        <w:ind w:firstLine="720" w:start="2880" w:end="0"/>
        <w:rPr>
          <w:i/>
          <w:i/>
          <w:iCs/>
        </w:rPr>
      </w:pPr>
      <w:r>
        <w:rPr>
          <w:i/>
          <w:iCs/>
        </w:rPr>
        <w:t>Attorney for California Large</w:t>
      </w:r>
    </w:p>
    <w:p>
      <w:pPr>
        <w:pStyle w:val="Normal"/>
        <w:keepNext w:val="true"/>
        <w:keepLines/>
        <w:ind w:start="3600" w:end="0"/>
        <w:rPr>
          <w:i/>
          <w:i/>
          <w:iCs/>
        </w:rPr>
      </w:pPr>
      <w:r>
        <w:rPr>
          <w:i/>
          <w:iCs/>
        </w:rPr>
        <w:t>Energy Consumers Association</w:t>
      </w:r>
    </w:p>
    <w:p>
      <w:pPr>
        <w:pStyle w:val="AddressLine1"/>
        <w:rPr>
          <w:i/>
          <w:i/>
          <w:iCs/>
        </w:rPr>
      </w:pPr>
      <w:r>
        <w:rPr>
          <w:i/>
          <w:iCs/>
        </w:rPr>
      </w:r>
    </w:p>
    <w:p>
      <w:pPr>
        <w:pStyle w:val="Normal"/>
        <w:ind w:firstLine="720" w:start="2880" w:end="0"/>
        <w:rPr/>
      </w:pPr>
      <w:r>
        <w:rPr/>
        <w:t>Philip A. Stohr</w:t>
      </w:r>
    </w:p>
    <w:p>
      <w:pPr>
        <w:pStyle w:val="Normal"/>
        <w:ind w:firstLine="720" w:start="2880" w:end="0"/>
        <w:rPr/>
      </w:pPr>
      <w:r>
        <w:rPr/>
        <w:t>Dan Carroll</w:t>
      </w:r>
    </w:p>
    <w:p>
      <w:pPr>
        <w:pStyle w:val="Normal"/>
        <w:ind w:firstLine="720" w:start="2880" w:end="0"/>
        <w:rPr/>
      </w:pPr>
      <w:r>
        <w:rPr/>
        <w:t>Ann  Trowbridge</w:t>
      </w:r>
    </w:p>
    <w:p>
      <w:pPr>
        <w:pStyle w:val="Normal"/>
        <w:ind w:firstLine="720" w:start="2880" w:end="0"/>
        <w:rPr>
          <w:smallCaps/>
        </w:rPr>
      </w:pPr>
      <w:r>
        <w:rPr>
          <w:smallCaps/>
        </w:rPr>
        <w:t>Downey Brand Seymour &amp; Rohwer LLP</w:t>
      </w:r>
    </w:p>
    <w:p>
      <w:pPr>
        <w:pStyle w:val="Normal"/>
        <w:ind w:firstLine="720" w:start="2880" w:end="0"/>
        <w:rPr/>
      </w:pPr>
      <w:r>
        <w:rPr/>
        <w:t>555 Capitol Mall, 10</w:t>
      </w:r>
      <w:r>
        <w:rPr>
          <w:vertAlign w:val="superscript"/>
        </w:rPr>
        <w:t>th</w:t>
      </w:r>
      <w:r>
        <w:rPr/>
        <w:t xml:space="preserve"> Floor</w:t>
      </w:r>
    </w:p>
    <w:p>
      <w:pPr>
        <w:pStyle w:val="Normal"/>
        <w:ind w:firstLine="720" w:start="2880" w:end="0"/>
        <w:rPr/>
      </w:pPr>
      <w:r>
        <w:rPr/>
        <w:t>Sacramento, CA 95814-4686</w:t>
      </w:r>
    </w:p>
    <w:p>
      <w:pPr>
        <w:pStyle w:val="Normal"/>
        <w:ind w:firstLine="720" w:start="2880" w:end="0"/>
        <w:rPr/>
      </w:pPr>
      <w:r>
        <w:rPr/>
        <w:t>(916) 441-0131</w:t>
      </w:r>
    </w:p>
    <w:p>
      <w:pPr>
        <w:pStyle w:val="Normal"/>
        <w:ind w:firstLine="720" w:start="2880" w:end="0"/>
        <w:rPr>
          <w:i/>
          <w:i/>
          <w:iCs/>
        </w:rPr>
      </w:pPr>
      <w:r>
        <w:rPr>
          <w:i/>
          <w:iCs/>
        </w:rPr>
        <w:t>Attorneys for the</w:t>
      </w:r>
    </w:p>
    <w:p>
      <w:pPr>
        <w:pStyle w:val="BodyText"/>
        <w:ind w:start="2880" w:end="0"/>
        <w:rPr>
          <w:i/>
          <w:i/>
          <w:iCs/>
        </w:rPr>
      </w:pPr>
      <w:r>
        <w:rPr>
          <w:i/>
          <w:iCs/>
        </w:rPr>
        <w:t>California Industrial Users</w:t>
      </w:r>
    </w:p>
    <w:p>
      <w:pPr>
        <w:pStyle w:val="BodyText"/>
        <w:ind w:hanging="0" w:end="0"/>
        <w:rPr/>
      </w:pPr>
      <w:r>
        <w:rPr/>
        <w:t>September 28, 2001</w:t>
      </w:r>
    </w:p>
    <w:p>
      <w:pPr>
        <w:sectPr>
          <w:footerReference w:type="default" r:id="rId4"/>
          <w:footerReference w:type="first" r:id="rId5"/>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rPr/>
      </w:pPr>
      <w:r>
        <w:rPr/>
      </w:r>
    </w:p>
    <w:p>
      <w:pPr>
        <w:pStyle w:val="Normal"/>
        <w:jc w:val="center"/>
        <w:rPr>
          <w:b/>
          <w:bCs/>
          <w:u w:val="single"/>
        </w:rPr>
      </w:pPr>
      <w:r>
        <w:rPr>
          <w:b/>
          <w:bCs/>
          <w:u w:val="single"/>
        </w:rPr>
        <w:t>CERTIFICATE OF SERVICE</w:t>
      </w:r>
    </w:p>
    <w:p>
      <w:pPr>
        <w:pStyle w:val="Normal"/>
        <w:jc w:val="center"/>
        <w:rPr/>
      </w:pPr>
      <w:r>
        <w:rPr/>
      </w:r>
    </w:p>
    <w:p>
      <w:pPr>
        <w:pStyle w:val="BodyText"/>
        <w:rPr/>
      </w:pPr>
      <w:r>
        <w:rPr/>
        <w:t>I hereby certify that I have this day served a copy of the foregoing “Application for Rehearing of the California Manufacturers &amp; Technology Association, California Industrial Users and California Large Energy Consumers Association” upon each person designated on the official service list compiled in this proceeding.</w:t>
      </w:r>
    </w:p>
    <w:p>
      <w:pPr>
        <w:pStyle w:val="Normal"/>
        <w:ind w:firstLine="720" w:end="0"/>
        <w:rPr/>
      </w:pPr>
      <w:r>
        <w:rPr/>
        <w:t>Dated at Washington, D.C. this 28</w:t>
      </w:r>
      <w:r>
        <w:rPr>
          <w:vertAlign w:val="superscript"/>
        </w:rPr>
        <w:t>th</w:t>
      </w:r>
      <w:r>
        <w:rPr/>
        <w:t xml:space="preserve"> day of September, 2001</w:t>
      </w:r>
    </w:p>
    <w:p>
      <w:pPr>
        <w:pStyle w:val="Normal"/>
        <w:ind w:firstLine="720" w:end="0"/>
        <w:rPr>
          <w:rFonts w:ascii="Dutch Roman 12pt" w:hAnsi="Dutch Roman 12pt" w:cs="Dutch Roman 12pt"/>
        </w:rPr>
      </w:pPr>
      <w:r>
        <w:rPr>
          <w:rFonts w:cs="Dutch Roman 12pt" w:ascii="Dutch Roman 12pt" w:hAnsi="Dutch Roman 12pt"/>
        </w:rPr>
      </w:r>
    </w:p>
    <w:p>
      <w:pPr>
        <w:pStyle w:val="Normal"/>
        <w:ind w:firstLine="720" w:end="0"/>
        <w:rPr>
          <w:rFonts w:ascii="Dutch Roman 12pt" w:hAnsi="Dutch Roman 12pt" w:cs="Dutch Roman 12pt"/>
        </w:rPr>
      </w:pPr>
      <w:r>
        <w:rPr>
          <w:rFonts w:cs="Dutch Roman 12pt" w:ascii="Dutch Roman 12pt" w:hAnsi="Dutch Roman 12pt"/>
        </w:rPr>
      </w:r>
    </w:p>
    <w:p>
      <w:pPr>
        <w:pStyle w:val="Normal"/>
        <w:ind w:firstLine="720" w:end="0"/>
        <w:rPr>
          <w:rFonts w:ascii="Dutch Roman 12pt" w:hAnsi="Dutch Roman 12pt" w:cs="Dutch Roman 12pt"/>
        </w:rPr>
      </w:pPr>
      <w:r>
        <w:rPr>
          <w:rFonts w:cs="Dutch Roman 12pt" w:ascii="Dutch Roman 12pt" w:hAnsi="Dutch Roman 12pt"/>
        </w:rPr>
        <w:tab/>
        <w:tab/>
        <w:tab/>
        <w:tab/>
        <w:tab/>
        <w:tab/>
        <w:t>____________________________</w:t>
      </w:r>
    </w:p>
    <w:p>
      <w:pPr>
        <w:pStyle w:val="Normal"/>
        <w:ind w:firstLine="720" w:end="0"/>
        <w:rPr>
          <w:rFonts w:ascii="Dutch Roman 12pt" w:hAnsi="Dutch Roman 12pt" w:cs="Dutch Roman 12pt"/>
        </w:rPr>
      </w:pPr>
      <w:r>
        <w:rPr>
          <w:rFonts w:cs="Dutch Roman 12pt" w:ascii="Dutch Roman 12pt" w:hAnsi="Dutch Roman 12pt"/>
        </w:rPr>
        <w:tab/>
        <w:tab/>
        <w:tab/>
        <w:tab/>
        <w:tab/>
        <w:tab/>
        <w:t>Sherry Winter</w:t>
      </w:r>
    </w:p>
    <w:p>
      <w:pPr>
        <w:pStyle w:val="Normal"/>
        <w:ind w:firstLine="720" w:end="0"/>
        <w:rPr>
          <w:rFonts w:ascii="Dutch Roman 12pt" w:hAnsi="Dutch Roman 12pt" w:cs="Dutch Roman 12pt"/>
        </w:rPr>
      </w:pPr>
      <w:r>
        <w:rPr>
          <w:rFonts w:cs="Dutch Roman 12pt" w:ascii="Dutch Roman 12pt" w:hAnsi="Dutch Roman 12pt"/>
        </w:rPr>
      </w:r>
    </w:p>
    <w:p>
      <w:pPr>
        <w:pStyle w:val="Normal"/>
        <w:ind w:firstLine="720" w:end="0"/>
        <w:rPr>
          <w:rFonts w:ascii="Dutch Roman 12pt" w:hAnsi="Dutch Roman 12pt" w:cs="Dutch Roman 12pt"/>
        </w:rPr>
      </w:pPr>
      <w:r>
        <w:rPr>
          <w:rFonts w:cs="Dutch Roman 12pt" w:ascii="Dutch Roman 12pt" w:hAnsi="Dutch Roman 12pt"/>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rus BT">
    <w:charset w:val="00" w:characterSet="windows-1252"/>
    <w:family w:val="roman"/>
    <w:pitch w:val="variable"/>
  </w:font>
  <w:font w:name="Dutch Roman 12p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DOCPROPERTY "DocNumber"</w:instrText>
    </w:r>
    <w:r>
      <w:rPr/>
      <w:fldChar w:fldCharType="separate"/>
    </w:r>
    <w:r>
      <w:rPr/>
      <w:t>WO 49226.1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r>
  </w:p>
  <w:p>
    <w:pPr>
      <w:pStyle w:val="DocID"/>
      <w:jc w:val="cen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p>
    <w:pPr>
      <w:pStyle w:val="DocID"/>
      <w:rPr/>
    </w:pPr>
    <w:r>
      <w:rPr/>
      <w:fldChar w:fldCharType="begin"/>
    </w:r>
    <w:r>
      <w:rPr/>
      <w:instrText xml:space="preserve"> DOCPROPERTY "DocNumber"</w:instrText>
    </w:r>
    <w:r>
      <w:rPr/>
      <w:fldChar w:fldCharType="separate"/>
    </w:r>
    <w:r>
      <w:rPr/>
      <w:t>WO 49226.1</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DOCPROPERTY "DocNumber"</w:instrText>
    </w:r>
    <w:r>
      <w:rPr/>
      <w:fldChar w:fldCharType="separate"/>
    </w:r>
    <w:r>
      <w:rPr/>
      <w:t>WO 49226.1</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r>
  </w:p>
  <w:p>
    <w:pPr>
      <w:pStyle w:val="DocID"/>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DocID"/>
      <w:rPr/>
    </w:pPr>
    <w:r>
      <w:rPr/>
      <w:fldChar w:fldCharType="begin"/>
    </w:r>
    <w:r>
      <w:rPr/>
      <w:instrText xml:space="preserve"> DOCPROPERTY "DocNumber"</w:instrText>
    </w:r>
    <w:r>
      <w:rPr/>
      <w:fldChar w:fldCharType="separate"/>
    </w:r>
    <w:r>
      <w:rPr/>
      <w:t>WO 49226.1</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DOCPROPERTY "DocNumber"</w:instrText>
    </w:r>
    <w:r>
      <w:rPr/>
      <w:fldChar w:fldCharType="separate"/>
    </w:r>
    <w:r>
      <w:rPr/>
      <w:t>WO 49226.1</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24"/>
        </w:rPr>
        <w:t xml:space="preserve"> </w:t>
      </w:r>
      <w:r>
        <w:rPr>
          <w:i/>
          <w:iCs/>
          <w:sz w:val="24"/>
        </w:rPr>
        <w:t>California Manufacturers Assn v. Public Utilities Commission</w:t>
      </w:r>
      <w:r>
        <w:rPr>
          <w:sz w:val="24"/>
        </w:rPr>
        <w:t xml:space="preserve">, </w:t>
      </w:r>
      <w:r>
        <w:rPr>
          <w:i/>
          <w:iCs/>
          <w:sz w:val="24"/>
        </w:rPr>
        <w:t>et al</w:t>
      </w:r>
      <w:r>
        <w:rPr>
          <w:sz w:val="24"/>
        </w:rPr>
        <w:t>. 24 Cal. 3d 351; 595 P. 2d 98 (1979).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576"/>
      </w:pPr>
      <w:rPr>
        <w:sz w:val="24"/>
        <w:i w:val="false"/>
        <w:b/>
        <w:rFonts w:ascii="Times New Roman" w:hAnsi="Times New Roman" w:cs="Times New Roman"/>
      </w:rPr>
    </w:lvl>
    <w:lvl w:ilvl="1">
      <w:start w:val="1"/>
      <w:numFmt w:val="upperRoman"/>
      <w:lvlText w:val="%2."/>
      <w:lvlJc w:val="start"/>
      <w:pPr>
        <w:tabs>
          <w:tab w:val="num" w:pos="1440"/>
        </w:tabs>
        <w:ind w:start="1440" w:hanging="720"/>
      </w:pPr>
      <w:rPr>
        <w:sz w:val="24"/>
        <w:i w:val="false"/>
        <w:b/>
      </w:rPr>
    </w:lvl>
    <w:lvl w:ilvl="2">
      <w:start w:val="1"/>
      <w:isLgl/>
      <w:numFmt w:val="decimal"/>
      <w:lvlText w:val="%1.%3"/>
      <w:lvlJc w:val="start"/>
      <w:pPr>
        <w:tabs>
          <w:tab w:val="num" w:pos="1080"/>
        </w:tabs>
        <w:ind w:start="1080" w:hanging="720"/>
      </w:pPr>
      <w:rPr>
        <w:i w:val="false"/>
        <w:b w:val="false"/>
      </w:rPr>
    </w:lvl>
    <w:lvl w:ilvl="3">
      <w:start w:val="1"/>
      <w:numFmt w:val="decimal"/>
      <w:lvlText w:val="%4."/>
      <w:lvlJc w:val="start"/>
      <w:pPr>
        <w:tabs>
          <w:tab w:val="num" w:pos="1800"/>
        </w:tabs>
        <w:ind w:start="72" w:firstLine="1368"/>
      </w:pPr>
      <w:rPr/>
    </w:lvl>
    <w:lvl w:ilvl="4">
      <w:start w:val="1"/>
      <w:numFmt w:val="decimal"/>
      <w:lvlText w:val="(%5)"/>
      <w:lvlJc w:val="start"/>
      <w:pPr>
        <w:tabs>
          <w:tab w:val="num" w:pos="1872"/>
        </w:tabs>
        <w:ind w:start="1872" w:hanging="792"/>
      </w:pPr>
      <w:rPr/>
    </w:lvl>
    <w:lvl w:ilvl="5">
      <w:start w:val="1"/>
      <w:numFmt w:val="lowerRoman"/>
      <w:lvlText w:val="%6."/>
      <w:lvlJc w:val="start"/>
      <w:pPr>
        <w:tabs>
          <w:tab w:val="num" w:pos="2376"/>
        </w:tabs>
        <w:ind w:start="2376" w:hanging="936"/>
      </w:pPr>
      <w:rPr/>
    </w:lvl>
    <w:lvl w:ilvl="6">
      <w:start w:val="1"/>
      <w:numFmt w:val="decimal"/>
      <w:lvlText w:val="%7."/>
      <w:lvlJc w:val="start"/>
      <w:pPr>
        <w:tabs>
          <w:tab w:val="num" w:pos="2880"/>
        </w:tabs>
        <w:ind w:start="2880" w:hanging="1080"/>
      </w:pPr>
      <w:rPr/>
    </w:lvl>
    <w:lvl w:ilvl="7">
      <w:start w:val="1"/>
      <w:numFmt w:val="upperLetter"/>
      <w:lvlText w:val="%8."/>
      <w:lvlJc w:val="start"/>
      <w:pPr>
        <w:tabs>
          <w:tab w:val="num" w:pos="3384"/>
        </w:tabs>
        <w:ind w:start="3384" w:hanging="1224"/>
      </w:pPr>
      <w:rPr/>
    </w:lvl>
    <w:lvl w:ilvl="8">
      <w:start w:val="1"/>
      <w:numFmt w:val="decimal"/>
      <w:lvlText w:val="%9)"/>
      <w:lvlJc w:val="start"/>
      <w:pPr>
        <w:tabs>
          <w:tab w:val="num" w:pos="3960"/>
        </w:tabs>
        <w:ind w:start="3960" w:hanging="1440"/>
      </w:pPr>
      <w:r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tabs>
        <w:tab w:val="clear" w:pos="720"/>
      </w:tabs>
      <w:spacing w:before="0" w:after="240"/>
      <w:ind w:hanging="0" w:start="576" w:end="0"/>
      <w:outlineLvl w:val="0"/>
    </w:pPr>
    <w:rPr>
      <w:b/>
      <w:bCs/>
      <w:caps/>
      <w:kern w:val="2"/>
    </w:rPr>
  </w:style>
  <w:style w:type="paragraph" w:styleId="Heading2">
    <w:name w:val="heading 2"/>
    <w:basedOn w:val="Normal"/>
    <w:next w:val="Normal"/>
    <w:qFormat/>
    <w:pPr>
      <w:keepNext w:val="true"/>
      <w:spacing w:lineRule="auto" w:line="480"/>
      <w:jc w:val="center"/>
      <w:outlineLvl w:val="1"/>
    </w:pPr>
    <w:rPr/>
  </w:style>
  <w:style w:type="paragraph" w:styleId="Heading3">
    <w:name w:val="heading 3"/>
    <w:basedOn w:val="Normal"/>
    <w:next w:val="BodyText"/>
    <w:qFormat/>
    <w:pPr>
      <w:spacing w:before="0" w:after="240"/>
      <w:outlineLvl w:val="2"/>
    </w:pPr>
    <w:rPr/>
  </w:style>
  <w:style w:type="paragraph" w:styleId="Heading4">
    <w:name w:val="heading 4"/>
    <w:basedOn w:val="Normal"/>
    <w:next w:val="BodyText"/>
    <w:qFormat/>
    <w:pPr>
      <w:spacing w:before="0" w:after="240"/>
      <w:outlineLvl w:val="3"/>
    </w:pPr>
    <w:rPr/>
  </w:style>
  <w:style w:type="paragraph" w:styleId="Heading5">
    <w:name w:val="heading 5"/>
    <w:basedOn w:val="Normal"/>
    <w:next w:val="BodyText"/>
    <w:qFormat/>
    <w:pPr>
      <w:spacing w:before="0" w:after="240"/>
      <w:outlineLvl w:val="4"/>
    </w:pPr>
    <w:rPr/>
  </w:style>
  <w:style w:type="paragraph" w:styleId="Heading6">
    <w:name w:val="heading 6"/>
    <w:basedOn w:val="Normal"/>
    <w:next w:val="BodyText"/>
    <w:qFormat/>
    <w:pPr>
      <w:spacing w:before="0" w:after="240"/>
      <w:outlineLvl w:val="5"/>
    </w:pPr>
    <w:rPr/>
  </w:style>
  <w:style w:type="paragraph" w:styleId="Heading7">
    <w:name w:val="heading 7"/>
    <w:basedOn w:val="Normal"/>
    <w:next w:val="BodyText"/>
    <w:qFormat/>
    <w:pPr>
      <w:spacing w:before="0" w:after="240"/>
      <w:outlineLvl w:val="6"/>
    </w:pPr>
    <w:rPr/>
  </w:style>
  <w:style w:type="paragraph" w:styleId="Heading8">
    <w:name w:val="heading 8"/>
    <w:basedOn w:val="Normal"/>
    <w:next w:val="BodyText"/>
    <w:qFormat/>
    <w:pPr>
      <w:spacing w:before="0" w:after="240"/>
      <w:outlineLvl w:val="7"/>
    </w:pPr>
    <w:rPr/>
  </w:style>
  <w:style w:type="paragraph" w:styleId="Heading9">
    <w:name w:val="heading 9"/>
    <w:basedOn w:val="Normal"/>
    <w:next w:val="BodyText"/>
    <w:qFormat/>
    <w:p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sz w:val="24"/>
    </w:rPr>
  </w:style>
  <w:style w:type="character" w:styleId="WW8Num11z1">
    <w:name w:val="WW8Num11z1"/>
    <w:qFormat/>
    <w:rPr>
      <w:b/>
      <w:i w:val="false"/>
      <w:sz w:val="24"/>
    </w:rPr>
  </w:style>
  <w:style w:type="character" w:styleId="WW8Num11z2">
    <w:name w:val="WW8Num11z2"/>
    <w:qFormat/>
    <w:rPr>
      <w:b w:val="false"/>
      <w:i w:val="false"/>
    </w:rPr>
  </w:style>
  <w:style w:type="character" w:styleId="WW8Num11z3">
    <w:name w:val="WW8Num11z3"/>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FF"/>
      <w:spacing w:val="0"/>
      <w:u w:val="doub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rPr>
  </w:style>
  <w:style w:type="paragraph" w:styleId="AddressLine1">
    <w:name w:val="Address Line 1"/>
    <w:basedOn w:val="Normal"/>
    <w:next w:val="Normal"/>
    <w:qFormat/>
    <w:pPr/>
    <w:rPr/>
  </w:style>
  <w:style w:type="paragraph" w:styleId="Date">
    <w:name w:val="Date"/>
    <w:basedOn w:val="Normal"/>
    <w:next w:val="Normal"/>
    <w:qFormat/>
    <w:pPr>
      <w:spacing w:before="360" w:after="720"/>
      <w:ind w:hanging="0" w:start="3600" w:end="0"/>
    </w:pPr>
    <w:rPr/>
  </w:style>
  <w:style w:type="paragraph" w:styleId="Letterhead">
    <w:name w:val="Letterhead"/>
    <w:basedOn w:val="Normal"/>
    <w:qFormat/>
    <w:pPr>
      <w:tabs>
        <w:tab w:val="clear" w:pos="720"/>
        <w:tab w:val="left" w:pos="6336" w:leader="none"/>
      </w:tabs>
      <w:ind w:hanging="0" w:start="4838" w:end="0"/>
    </w:pPr>
    <w:rPr>
      <w:rFonts w:ascii="Arial" w:hAnsi="Arial" w:cs="Arial"/>
      <w:sz w:val="14"/>
    </w:rPr>
  </w:style>
  <w:style w:type="paragraph" w:styleId="LetterheadName">
    <w:name w:val="Letterhead Name"/>
    <w:basedOn w:val="Letterhead"/>
    <w:next w:val="Letterhead"/>
    <w:qFormat/>
    <w:pPr>
      <w:tabs>
        <w:tab w:val="clear" w:pos="6336"/>
      </w:tabs>
      <w:spacing w:lineRule="exact" w:line="200"/>
      <w:ind w:hanging="0" w:start="216" w:end="0"/>
    </w:pPr>
    <w:rPr>
      <w:rFonts w:ascii="Arrus BT" w:hAnsi="Arrus BT" w:cs="Arrus BT"/>
      <w:b/>
    </w:rPr>
  </w:style>
  <w:style w:type="paragraph" w:styleId="FootnoteText">
    <w:name w:val="footnote text"/>
    <w:basedOn w:val="Normal"/>
    <w:pPr/>
    <w:rPr>
      <w:sz w:val="20"/>
    </w:rPr>
  </w:style>
  <w:style w:type="paragraph" w:styleId="BlockText">
    <w:name w:val="Block Text"/>
    <w:basedOn w:val="Normal"/>
    <w:qFormat/>
    <w:pPr>
      <w:spacing w:before="0" w:after="240"/>
      <w:ind w:hanging="0" w:start="144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2001-09-28T16:44:00Z</dcterms:created>
  <dc:creator>SAB User</dc:creator>
  <dc:description/>
  <dc:language>en-CA</dc:language>
  <cp:lastModifiedBy>SAB User</cp:lastModifiedBy>
  <cp:lastPrinted>2001-09-28T15:14:00Z</cp:lastPrinted>
  <dcterms:modified xsi:type="dcterms:W3CDTF">2001-09-28T16:44:00Z</dcterms:modified>
  <cp:revision>2</cp:revision>
  <dc:subject/>
  <dc:title>BEFORE THE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WO 49226.1</vt:lpwstr>
  </property>
</Properties>
</file>