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numbering.xml" ContentType="application/vnd.openxmlformats-officedocument.wordprocessingml.numbering+xml"/>
  <Override PartName="/word/footer8.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rPr>
      </w:pPr>
      <w:r>
        <w:rPr>
          <w:b/>
          <w:bCs/>
        </w:rPr>
        <w:t>BEFORE THE</w:t>
      </w:r>
    </w:p>
    <w:p>
      <w:pPr>
        <w:pStyle w:val="Normal"/>
        <w:jc w:val="center"/>
        <w:rPr>
          <w:b/>
        </w:rPr>
      </w:pPr>
      <w:r>
        <w:rPr>
          <w:b/>
        </w:rPr>
        <w:t>PUBLIC UTILITIES COMMISSION</w:t>
      </w:r>
    </w:p>
    <w:p>
      <w:pPr>
        <w:pStyle w:val="Normal"/>
        <w:jc w:val="center"/>
        <w:rPr>
          <w:b/>
        </w:rPr>
      </w:pPr>
      <w:r>
        <w:rPr>
          <w:b/>
        </w:rPr>
        <w:t>OF THE</w:t>
      </w:r>
    </w:p>
    <w:p>
      <w:pPr>
        <w:pStyle w:val="Normal"/>
        <w:jc w:val="center"/>
        <w:rPr>
          <w:b/>
        </w:rPr>
      </w:pPr>
      <w:r>
        <w:rPr>
          <w:b/>
        </w:rPr>
        <w:t>STATE OF CALIFORNIA</w:t>
      </w:r>
    </w:p>
    <w:p>
      <w:pPr>
        <w:pStyle w:val="Normal"/>
        <w:rPr/>
      </w:pPr>
      <w:r>
        <w:rPr/>
      </w:r>
    </w:p>
    <w:tbl>
      <w:tblPr>
        <w:tblW w:w="9108" w:type="dxa"/>
        <w:jc w:val="start"/>
        <w:tblInd w:w="0" w:type="dxa"/>
        <w:tblLayout w:type="fixed"/>
        <w:tblCellMar>
          <w:top w:w="0" w:type="dxa"/>
          <w:start w:w="108" w:type="dxa"/>
          <w:bottom w:w="0" w:type="dxa"/>
          <w:end w:w="108" w:type="dxa"/>
        </w:tblCellMar>
      </w:tblPr>
      <w:tblGrid>
        <w:gridCol w:w="4968"/>
        <w:gridCol w:w="360"/>
        <w:gridCol w:w="3780"/>
      </w:tblGrid>
      <w:tr>
        <w:trPr>
          <w:trHeight w:val="1099" w:hRule="atLeast"/>
        </w:trPr>
        <w:tc>
          <w:tcPr>
            <w:tcW w:w="4968" w:type="dxa"/>
            <w:tcBorders>
              <w:top w:val="single" w:sz="6" w:space="0" w:color="000000"/>
              <w:bottom w:val="single" w:sz="6" w:space="0" w:color="000000"/>
              <w:end w:val="single" w:sz="6" w:space="0" w:color="000000"/>
            </w:tcBorders>
          </w:tcPr>
          <w:p>
            <w:pPr>
              <w:pStyle w:val="Normal"/>
              <w:rPr>
                <w:sz w:val="20"/>
              </w:rPr>
            </w:pPr>
            <w:r>
              <w:rPr>
                <w:sz w:val="20"/>
              </w:rPr>
              <w:t>Application of PACIFIC GAS AND ELECTRIC COMPANY (U 39 G) for an Order Pursuant to Section 1005.5(b) of the Public Utilities Code to Increase the Maximum Cost Specified in PG&amp;E’s Certificate of Public Convenience and Necessity to Construct the California Portion of the Expansion of its Natural Gas Pipeline</w:t>
            </w:r>
          </w:p>
        </w:tc>
        <w:tc>
          <w:tcPr>
            <w:tcW w:w="360" w:type="dxa"/>
            <w:tcBorders>
              <w:start w:val="single" w:sz="6" w:space="0" w:color="000000"/>
            </w:tcBorders>
          </w:tcPr>
          <w:p>
            <w:pPr>
              <w:pStyle w:val="Normal"/>
              <w:snapToGrid w:val="false"/>
              <w:rPr>
                <w:sz w:val="20"/>
              </w:rPr>
            </w:pPr>
            <w:r>
              <w:rPr>
                <w:sz w:val="20"/>
              </w:rPr>
            </w:r>
          </w:p>
          <w:p>
            <w:pPr>
              <w:pStyle w:val="Normal"/>
              <w:rPr>
                <w:sz w:val="20"/>
              </w:rPr>
            </w:pPr>
            <w:r>
              <w:rPr>
                <w:sz w:val="20"/>
              </w:rPr>
            </w:r>
          </w:p>
        </w:tc>
        <w:tc>
          <w:tcPr>
            <w:tcW w:w="3780" w:type="dxa"/>
            <w:tcBorders/>
          </w:tcPr>
          <w:p>
            <w:pPr>
              <w:pStyle w:val="Normal"/>
              <w:snapToGrid w:val="false"/>
              <w:rPr>
                <w:sz w:val="20"/>
              </w:rPr>
            </w:pPr>
            <w:r>
              <w:rPr>
                <w:sz w:val="20"/>
              </w:rPr>
            </w:r>
          </w:p>
          <w:p>
            <w:pPr>
              <w:pStyle w:val="Normal"/>
              <w:rPr>
                <w:sz w:val="20"/>
              </w:rPr>
            </w:pPr>
            <w:r>
              <w:rPr>
                <w:sz w:val="20"/>
              </w:rPr>
              <w:t>A.92-12-043</w:t>
            </w:r>
          </w:p>
          <w:p>
            <w:pPr>
              <w:pStyle w:val="Normal"/>
              <w:rPr>
                <w:sz w:val="20"/>
              </w:rPr>
            </w:pPr>
            <w:r>
              <w:rPr>
                <w:sz w:val="20"/>
              </w:rPr>
              <w:t>(Filed December 21, 1992)</w:t>
            </w:r>
          </w:p>
          <w:p>
            <w:pPr>
              <w:pStyle w:val="Normal"/>
              <w:rPr>
                <w:sz w:val="20"/>
              </w:rPr>
            </w:pPr>
            <w:r>
              <w:rPr>
                <w:sz w:val="20"/>
              </w:rPr>
              <w:t>A.93-03-038</w:t>
            </w:r>
          </w:p>
          <w:p>
            <w:pPr>
              <w:pStyle w:val="Normal"/>
              <w:rPr>
                <w:sz w:val="20"/>
              </w:rPr>
            </w:pPr>
            <w:r>
              <w:rPr>
                <w:sz w:val="20"/>
              </w:rPr>
              <w:t>A.94-05-035</w:t>
            </w:r>
          </w:p>
          <w:p>
            <w:pPr>
              <w:pStyle w:val="Normal"/>
              <w:rPr>
                <w:sz w:val="20"/>
              </w:rPr>
            </w:pPr>
            <w:r>
              <w:rPr>
                <w:sz w:val="20"/>
              </w:rPr>
              <w:t>A.94-06-034</w:t>
            </w:r>
          </w:p>
          <w:p>
            <w:pPr>
              <w:pStyle w:val="Normal"/>
              <w:rPr>
                <w:sz w:val="20"/>
              </w:rPr>
            </w:pPr>
            <w:r>
              <w:rPr>
                <w:sz w:val="20"/>
              </w:rPr>
              <w:t>A.94-09-056</w:t>
            </w:r>
          </w:p>
        </w:tc>
      </w:tr>
      <w:tr>
        <w:trPr>
          <w:trHeight w:val="918" w:hRule="atLeast"/>
        </w:trPr>
        <w:tc>
          <w:tcPr>
            <w:tcW w:w="4968" w:type="dxa"/>
            <w:tcBorders>
              <w:top w:val="single" w:sz="6" w:space="0" w:color="000000"/>
              <w:bottom w:val="single" w:sz="6" w:space="0" w:color="000000"/>
              <w:end w:val="single" w:sz="6" w:space="0" w:color="000000"/>
            </w:tcBorders>
          </w:tcPr>
          <w:p>
            <w:pPr>
              <w:pStyle w:val="Normal"/>
              <w:snapToGrid w:val="false"/>
              <w:rPr>
                <w:sz w:val="20"/>
              </w:rPr>
            </w:pPr>
            <w:r>
              <w:rPr>
                <w:sz w:val="20"/>
              </w:rPr>
            </w:r>
          </w:p>
          <w:p>
            <w:pPr>
              <w:pStyle w:val="Normal"/>
              <w:rPr>
                <w:sz w:val="20"/>
              </w:rPr>
            </w:pPr>
            <w:r>
              <w:rPr>
                <w:sz w:val="20"/>
              </w:rPr>
              <w:t>And Related Matters.</w:t>
            </w:r>
          </w:p>
        </w:tc>
        <w:tc>
          <w:tcPr>
            <w:tcW w:w="360" w:type="dxa"/>
            <w:tcBorders>
              <w:start w:val="single" w:sz="6" w:space="0" w:color="000000"/>
            </w:tcBorders>
          </w:tcPr>
          <w:p>
            <w:pPr>
              <w:pStyle w:val="Normal"/>
              <w:snapToGrid w:val="false"/>
              <w:rPr>
                <w:sz w:val="20"/>
              </w:rPr>
            </w:pPr>
            <w:r>
              <w:rPr>
                <w:sz w:val="20"/>
              </w:rPr>
            </w:r>
          </w:p>
        </w:tc>
        <w:tc>
          <w:tcPr>
            <w:tcW w:w="3780" w:type="dxa"/>
            <w:tcBorders/>
          </w:tcPr>
          <w:p>
            <w:pPr>
              <w:pStyle w:val="Normal"/>
              <w:rPr>
                <w:sz w:val="20"/>
              </w:rPr>
            </w:pPr>
            <w:r>
              <w:rPr>
                <w:sz w:val="20"/>
              </w:rPr>
              <w:t>A.94-06-044</w:t>
            </w:r>
          </w:p>
          <w:p>
            <w:pPr>
              <w:pStyle w:val="Normal"/>
              <w:rPr>
                <w:sz w:val="20"/>
              </w:rPr>
            </w:pPr>
            <w:r>
              <w:rPr>
                <w:sz w:val="20"/>
              </w:rPr>
              <w:t>A.96-08-043</w:t>
            </w:r>
          </w:p>
        </w:tc>
      </w:tr>
      <w:tr>
        <w:trPr>
          <w:trHeight w:val="1099" w:hRule="atLeast"/>
        </w:trPr>
        <w:tc>
          <w:tcPr>
            <w:tcW w:w="4968" w:type="dxa"/>
            <w:tcBorders>
              <w:top w:val="single" w:sz="6" w:space="0" w:color="000000"/>
              <w:bottom w:val="single" w:sz="6" w:space="0" w:color="000000"/>
              <w:end w:val="single" w:sz="6" w:space="0" w:color="000000"/>
            </w:tcBorders>
          </w:tcPr>
          <w:p>
            <w:pPr>
              <w:pStyle w:val="Normal"/>
              <w:pBdr/>
              <w:snapToGrid w:val="false"/>
              <w:rPr>
                <w:sz w:val="20"/>
              </w:rPr>
            </w:pPr>
            <w:r>
              <w:rPr>
                <w:sz w:val="20"/>
              </w:rPr>
            </w:r>
          </w:p>
        </w:tc>
        <w:tc>
          <w:tcPr>
            <w:tcW w:w="360" w:type="dxa"/>
            <w:tcBorders>
              <w:start w:val="single" w:sz="6" w:space="0" w:color="000000"/>
            </w:tcBorders>
          </w:tcPr>
          <w:p>
            <w:pPr>
              <w:pStyle w:val="Normal"/>
              <w:snapToGrid w:val="false"/>
              <w:rPr>
                <w:sz w:val="20"/>
              </w:rPr>
            </w:pPr>
            <w:r>
              <w:rPr>
                <w:sz w:val="20"/>
              </w:rPr>
            </w:r>
          </w:p>
        </w:tc>
        <w:tc>
          <w:tcPr>
            <w:tcW w:w="3780" w:type="dxa"/>
            <w:tcBorders/>
          </w:tcPr>
          <w:p>
            <w:pPr>
              <w:pStyle w:val="Normal"/>
              <w:rPr>
                <w:sz w:val="20"/>
              </w:rPr>
            </w:pPr>
            <w:r>
              <w:rPr>
                <w:sz w:val="20"/>
              </w:rPr>
              <w:t>R.90-02-008</w:t>
            </w:r>
          </w:p>
          <w:p>
            <w:pPr>
              <w:pStyle w:val="Normal"/>
              <w:rPr>
                <w:sz w:val="20"/>
              </w:rPr>
            </w:pPr>
            <w:r>
              <w:rPr>
                <w:sz w:val="20"/>
              </w:rPr>
              <w:t>R.88-08-018</w:t>
            </w:r>
          </w:p>
          <w:p>
            <w:pPr>
              <w:pStyle w:val="Normal"/>
              <w:rPr>
                <w:sz w:val="20"/>
              </w:rPr>
            </w:pPr>
            <w:r>
              <w:rPr>
                <w:sz w:val="20"/>
              </w:rPr>
              <w:t>R.92-12-016</w:t>
            </w:r>
          </w:p>
          <w:p>
            <w:pPr>
              <w:pStyle w:val="Normal"/>
              <w:rPr>
                <w:sz w:val="20"/>
              </w:rPr>
            </w:pPr>
            <w:r>
              <w:rPr>
                <w:sz w:val="20"/>
              </w:rPr>
            </w:r>
          </w:p>
          <w:p>
            <w:pPr>
              <w:pStyle w:val="Normal"/>
              <w:rPr>
                <w:sz w:val="20"/>
              </w:rPr>
            </w:pPr>
            <w:r>
              <w:rPr>
                <w:sz w:val="20"/>
              </w:rPr>
              <w:t>I.92-12-017</w:t>
            </w:r>
          </w:p>
          <w:p>
            <w:pPr>
              <w:pStyle w:val="Normal"/>
              <w:rPr>
                <w:sz w:val="20"/>
              </w:rPr>
            </w:pPr>
            <w:r>
              <w:rPr>
                <w:sz w:val="20"/>
              </w:rPr>
            </w:r>
          </w:p>
          <w:p>
            <w:pPr>
              <w:pStyle w:val="Normal"/>
              <w:rPr>
                <w:sz w:val="20"/>
              </w:rPr>
            </w:pPr>
            <w:r>
              <w:rPr>
                <w:sz w:val="20"/>
              </w:rPr>
              <w:t>A.92-07-049</w:t>
            </w:r>
          </w:p>
          <w:p>
            <w:pPr>
              <w:pStyle w:val="Normal"/>
              <w:rPr>
                <w:sz w:val="20"/>
              </w:rPr>
            </w:pPr>
            <w:r>
              <w:rPr>
                <w:sz w:val="20"/>
              </w:rPr>
              <w:t>A.95-02-008</w:t>
            </w:r>
          </w:p>
          <w:p>
            <w:pPr>
              <w:pStyle w:val="Normal"/>
              <w:rPr>
                <w:sz w:val="20"/>
              </w:rPr>
            </w:pPr>
            <w:r>
              <w:rPr>
                <w:sz w:val="20"/>
              </w:rPr>
              <w:t>A.95-02-010</w:t>
            </w:r>
          </w:p>
          <w:p>
            <w:pPr>
              <w:pStyle w:val="Normal"/>
              <w:rPr>
                <w:sz w:val="20"/>
              </w:rPr>
            </w:pPr>
            <w:r>
              <w:rPr>
                <w:sz w:val="20"/>
              </w:rPr>
              <w:t>A.94-11-015</w:t>
            </w:r>
          </w:p>
          <w:p>
            <w:pPr>
              <w:pStyle w:val="Normal"/>
              <w:rPr>
                <w:sz w:val="20"/>
              </w:rPr>
            </w:pPr>
            <w:r>
              <w:rPr>
                <w:sz w:val="20"/>
              </w:rPr>
              <w:t>A.93-04-011</w:t>
            </w:r>
          </w:p>
          <w:p>
            <w:pPr>
              <w:pStyle w:val="Normal"/>
              <w:rPr>
                <w:sz w:val="20"/>
              </w:rPr>
            </w:pPr>
            <w:r>
              <w:rPr>
                <w:sz w:val="20"/>
              </w:rPr>
              <w:t>A.94-04-002</w:t>
            </w:r>
          </w:p>
          <w:p>
            <w:pPr>
              <w:pStyle w:val="Normal"/>
              <w:rPr>
                <w:sz w:val="20"/>
              </w:rPr>
            </w:pPr>
            <w:r>
              <w:rPr>
                <w:sz w:val="20"/>
              </w:rPr>
              <w:t>A.95-04-002</w:t>
            </w:r>
          </w:p>
          <w:p>
            <w:pPr>
              <w:pStyle w:val="Normal"/>
              <w:rPr>
                <w:sz w:val="20"/>
              </w:rPr>
            </w:pPr>
            <w:r>
              <w:rPr>
                <w:sz w:val="20"/>
              </w:rPr>
              <w:t>A.96-04-001</w:t>
            </w:r>
          </w:p>
          <w:p>
            <w:pPr>
              <w:pStyle w:val="Normal"/>
              <w:rPr>
                <w:sz w:val="20"/>
              </w:rPr>
            </w:pPr>
            <w:r>
              <w:rPr>
                <w:sz w:val="20"/>
              </w:rPr>
              <w:t>A.94-12-039</w:t>
            </w:r>
          </w:p>
        </w:tc>
      </w:tr>
    </w:tbl>
    <w:p>
      <w:pPr>
        <w:pStyle w:val="Normal"/>
        <w:rPr/>
      </w:pPr>
      <w:r>
        <w:rPr/>
      </w:r>
    </w:p>
    <w:p>
      <w:pPr>
        <w:pStyle w:val="Normal"/>
        <w:rPr/>
      </w:pPr>
      <w:r>
        <w:rPr/>
      </w:r>
    </w:p>
    <w:p>
      <w:pPr>
        <w:pStyle w:val="Normal"/>
        <w:jc w:val="center"/>
        <w:rPr>
          <w:b/>
          <w:bCs/>
        </w:rPr>
      </w:pPr>
      <w:r>
        <w:rPr>
          <w:b/>
          <w:bCs/>
        </w:rPr>
        <w:t xml:space="preserve">RESPONSE OF THE CALIFORNIA INDUSTRIAL GROUP AND </w:t>
      </w:r>
    </w:p>
    <w:p>
      <w:pPr>
        <w:pStyle w:val="Normal"/>
        <w:jc w:val="center"/>
        <w:rPr>
          <w:b/>
          <w:bCs/>
        </w:rPr>
      </w:pPr>
      <w:r>
        <w:rPr>
          <w:b/>
          <w:bCs/>
        </w:rPr>
        <w:t xml:space="preserve">CALIFORNIA MANUFACTURERS &amp; TECHNOLOGY ASSOCIATION </w:t>
      </w:r>
    </w:p>
    <w:p>
      <w:pPr>
        <w:pStyle w:val="Normal"/>
        <w:jc w:val="center"/>
        <w:rPr>
          <w:b/>
          <w:bCs/>
        </w:rPr>
      </w:pPr>
      <w:r>
        <w:rPr>
          <w:b/>
          <w:bCs/>
        </w:rPr>
        <w:t xml:space="preserve">IN OPPOSITION TO THE EMERGENCY PETITION </w:t>
      </w:r>
    </w:p>
    <w:p>
      <w:pPr>
        <w:pStyle w:val="Normal"/>
        <w:jc w:val="center"/>
        <w:rPr>
          <w:b/>
          <w:bCs/>
        </w:rPr>
      </w:pPr>
      <w:r>
        <w:rPr>
          <w:b/>
          <w:bCs/>
        </w:rPr>
        <w:t>OF ORA AND TURN</w:t>
      </w:r>
    </w:p>
    <w:p>
      <w:pPr>
        <w:pStyle w:val="Normal"/>
        <w:ind w:firstLine="720" w:start="4320" w:end="0"/>
        <w:jc w:val="both"/>
        <w:rPr/>
      </w:pPr>
      <w:r>
        <w:rPr/>
      </w:r>
    </w:p>
    <w:p>
      <w:pPr>
        <w:pStyle w:val="Normal"/>
        <w:ind w:firstLine="720" w:start="4320" w:end="0"/>
        <w:jc w:val="both"/>
        <w:rPr/>
      </w:pPr>
      <w:r>
        <w:rPr/>
        <w:t>Keith R. McCrea</w:t>
      </w:r>
    </w:p>
    <w:p>
      <w:pPr>
        <w:pStyle w:val="Normal"/>
        <w:jc w:val="both"/>
        <w:rPr/>
      </w:pPr>
      <w:r>
        <w:rPr/>
        <w:tab/>
        <w:tab/>
        <w:tab/>
        <w:tab/>
        <w:tab/>
        <w:tab/>
        <w:tab/>
      </w:r>
      <w:r>
        <w:rPr>
          <w:smallCaps/>
        </w:rPr>
        <w:t>Sutherland Asbill &amp; Brennan LLP</w:t>
      </w:r>
    </w:p>
    <w:p>
      <w:pPr>
        <w:pStyle w:val="Normal"/>
        <w:jc w:val="both"/>
        <w:rPr/>
      </w:pPr>
      <w:r>
        <w:rPr/>
        <w:tab/>
        <w:tab/>
        <w:tab/>
        <w:tab/>
        <w:tab/>
        <w:tab/>
        <w:tab/>
        <w:t>1275 Pennsylvania Avenue, N.W.</w:t>
      </w:r>
    </w:p>
    <w:p>
      <w:pPr>
        <w:pStyle w:val="Normal"/>
        <w:jc w:val="both"/>
        <w:rPr/>
      </w:pPr>
      <w:r>
        <w:rPr/>
        <w:tab/>
        <w:tab/>
        <w:tab/>
        <w:tab/>
        <w:tab/>
        <w:tab/>
        <w:tab/>
        <w:t>Washington, D.C.  20004</w:t>
      </w:r>
    </w:p>
    <w:p>
      <w:pPr>
        <w:pStyle w:val="Normal"/>
        <w:jc w:val="both"/>
        <w:rPr/>
      </w:pPr>
      <w:r>
        <w:rPr/>
        <w:tab/>
        <w:tab/>
        <w:tab/>
        <w:tab/>
        <w:tab/>
        <w:tab/>
        <w:tab/>
        <w:t>(202) 383-0100</w:t>
      </w:r>
    </w:p>
    <w:p>
      <w:pPr>
        <w:pStyle w:val="Normal"/>
        <w:jc w:val="both"/>
        <w:rPr/>
      </w:pPr>
      <w:r>
        <w:rPr/>
      </w:r>
    </w:p>
    <w:p>
      <w:pPr>
        <w:pStyle w:val="Normal"/>
        <w:jc w:val="both"/>
        <w:rPr/>
      </w:pPr>
      <w:r>
        <w:rPr/>
        <w:tab/>
        <w:tab/>
        <w:tab/>
        <w:tab/>
        <w:tab/>
        <w:tab/>
        <w:tab/>
      </w:r>
      <w:r>
        <w:rPr>
          <w:i/>
        </w:rPr>
        <w:t>Attorney for the</w:t>
      </w:r>
    </w:p>
    <w:p>
      <w:pPr>
        <w:pStyle w:val="Normal"/>
        <w:jc w:val="both"/>
        <w:rPr>
          <w:i/>
          <w:i/>
        </w:rPr>
      </w:pPr>
      <w:r>
        <w:rPr>
          <w:i/>
        </w:rPr>
        <w:tab/>
        <w:tab/>
        <w:tab/>
        <w:tab/>
        <w:tab/>
        <w:tab/>
        <w:tab/>
        <w:t>California Industrial Group and</w:t>
      </w:r>
    </w:p>
    <w:p>
      <w:pPr>
        <w:pStyle w:val="Normal"/>
        <w:jc w:val="both"/>
        <w:rPr>
          <w:i/>
          <w:i/>
        </w:rPr>
      </w:pPr>
      <w:r>
        <w:rPr>
          <w:i/>
        </w:rPr>
        <w:tab/>
        <w:tab/>
        <w:tab/>
        <w:tab/>
        <w:tab/>
        <w:tab/>
        <w:tab/>
        <w:t xml:space="preserve">California Manufacturers &amp; Technology </w:t>
        <w:tab/>
        <w:tab/>
        <w:tab/>
        <w:tab/>
        <w:tab/>
        <w:tab/>
        <w:tab/>
        <w:tab/>
        <w:t>Association</w:t>
      </w:r>
    </w:p>
    <w:p>
      <w:pPr>
        <w:pStyle w:val="Normal"/>
        <w:rPr>
          <w:i/>
          <w:i/>
        </w:rPr>
      </w:pPr>
      <w:r>
        <w:rPr>
          <w:i/>
        </w:rPr>
      </w:r>
    </w:p>
    <w:p>
      <w:pPr>
        <w:pStyle w:val="Normal"/>
        <w:rPr/>
      </w:pPr>
      <w:r>
        <w:rPr/>
      </w:r>
    </w:p>
    <w:p>
      <w:pPr>
        <w:sectPr>
          <w:footerReference w:type="default" r:id="rId2"/>
          <w:footerReference w:type="first" r:id="rId3"/>
          <w:type w:val="nextPage"/>
          <w:pgSz w:w="12240" w:h="15840"/>
          <w:pgMar w:left="1440" w:right="1440" w:gutter="0" w:header="0" w:top="1440" w:footer="720" w:bottom="1440"/>
          <w:pgNumType w:start="1" w:fmt="decimal"/>
          <w:formProt w:val="false"/>
          <w:titlePg/>
          <w:textDirection w:val="lrTb"/>
          <w:docGrid w:type="default" w:linePitch="360" w:charSpace="0"/>
        </w:sectPr>
        <w:pStyle w:val="Normal"/>
        <w:rPr/>
      </w:pPr>
      <w:r>
        <w:rPr/>
        <w:t>January 19, 2001</w:t>
      </w:r>
    </w:p>
    <w:p>
      <w:pPr>
        <w:pStyle w:val="Normal"/>
        <w:jc w:val="center"/>
        <w:rPr>
          <w:b/>
          <w:bCs/>
        </w:rPr>
      </w:pPr>
      <w:r>
        <w:rPr>
          <w:b/>
          <w:bCs/>
        </w:rPr>
        <w:t>BEFORE THE</w:t>
      </w:r>
    </w:p>
    <w:p>
      <w:pPr>
        <w:pStyle w:val="Normal"/>
        <w:jc w:val="center"/>
        <w:rPr>
          <w:b/>
        </w:rPr>
      </w:pPr>
      <w:r>
        <w:rPr>
          <w:b/>
        </w:rPr>
        <w:t>PUBLIC UTILITIES COMMISSION</w:t>
      </w:r>
    </w:p>
    <w:p>
      <w:pPr>
        <w:pStyle w:val="Normal"/>
        <w:jc w:val="center"/>
        <w:rPr>
          <w:b/>
        </w:rPr>
      </w:pPr>
      <w:r>
        <w:rPr>
          <w:b/>
        </w:rPr>
        <w:t>OF THE</w:t>
      </w:r>
    </w:p>
    <w:p>
      <w:pPr>
        <w:pStyle w:val="Normal"/>
        <w:jc w:val="center"/>
        <w:rPr>
          <w:b/>
        </w:rPr>
      </w:pPr>
      <w:r>
        <w:rPr>
          <w:b/>
        </w:rPr>
        <w:t>STATE OF CALIFORNIA</w:t>
      </w:r>
    </w:p>
    <w:p>
      <w:pPr>
        <w:pStyle w:val="Normal"/>
        <w:rPr/>
      </w:pPr>
      <w:r>
        <w:rPr/>
      </w:r>
    </w:p>
    <w:tbl>
      <w:tblPr>
        <w:tblW w:w="9108" w:type="dxa"/>
        <w:jc w:val="start"/>
        <w:tblInd w:w="0" w:type="dxa"/>
        <w:tblLayout w:type="fixed"/>
        <w:tblCellMar>
          <w:top w:w="0" w:type="dxa"/>
          <w:start w:w="108" w:type="dxa"/>
          <w:bottom w:w="0" w:type="dxa"/>
          <w:end w:w="108" w:type="dxa"/>
        </w:tblCellMar>
      </w:tblPr>
      <w:tblGrid>
        <w:gridCol w:w="4968"/>
        <w:gridCol w:w="360"/>
        <w:gridCol w:w="3780"/>
      </w:tblGrid>
      <w:tr>
        <w:trPr>
          <w:trHeight w:val="1099" w:hRule="atLeast"/>
        </w:trPr>
        <w:tc>
          <w:tcPr>
            <w:tcW w:w="4968" w:type="dxa"/>
            <w:tcBorders>
              <w:top w:val="single" w:sz="6" w:space="0" w:color="000000"/>
              <w:bottom w:val="single" w:sz="6" w:space="0" w:color="000000"/>
              <w:end w:val="single" w:sz="6" w:space="0" w:color="000000"/>
            </w:tcBorders>
          </w:tcPr>
          <w:p>
            <w:pPr>
              <w:pStyle w:val="Normal"/>
              <w:rPr>
                <w:sz w:val="20"/>
              </w:rPr>
            </w:pPr>
            <w:r>
              <w:rPr>
                <w:sz w:val="20"/>
              </w:rPr>
              <w:t>Application of PACIFIC GAS AND ELECTRIC COMPANY (U 39 G) for an Order Pursuant to Section 1005.5(b) of the Public Utilities Code to Increase the Maximum Cost Specified in PG&amp;E’s Certificate of Public Convenience and Necessity to Construct the California Portion of the Expansion of its Natural Gas Pipeline</w:t>
            </w:r>
          </w:p>
        </w:tc>
        <w:tc>
          <w:tcPr>
            <w:tcW w:w="360" w:type="dxa"/>
            <w:tcBorders>
              <w:start w:val="single" w:sz="6" w:space="0" w:color="000000"/>
            </w:tcBorders>
          </w:tcPr>
          <w:p>
            <w:pPr>
              <w:pStyle w:val="Normal"/>
              <w:snapToGrid w:val="false"/>
              <w:rPr>
                <w:sz w:val="20"/>
              </w:rPr>
            </w:pPr>
            <w:r>
              <w:rPr>
                <w:sz w:val="20"/>
              </w:rPr>
            </w:r>
          </w:p>
          <w:p>
            <w:pPr>
              <w:pStyle w:val="Normal"/>
              <w:rPr>
                <w:sz w:val="20"/>
              </w:rPr>
            </w:pPr>
            <w:r>
              <w:rPr>
                <w:sz w:val="20"/>
              </w:rPr>
            </w:r>
          </w:p>
        </w:tc>
        <w:tc>
          <w:tcPr>
            <w:tcW w:w="3780" w:type="dxa"/>
            <w:tcBorders/>
          </w:tcPr>
          <w:p>
            <w:pPr>
              <w:pStyle w:val="Normal"/>
              <w:snapToGrid w:val="false"/>
              <w:rPr>
                <w:sz w:val="20"/>
              </w:rPr>
            </w:pPr>
            <w:r>
              <w:rPr>
                <w:sz w:val="20"/>
              </w:rPr>
            </w:r>
          </w:p>
          <w:p>
            <w:pPr>
              <w:pStyle w:val="Normal"/>
              <w:rPr>
                <w:sz w:val="20"/>
              </w:rPr>
            </w:pPr>
            <w:r>
              <w:rPr>
                <w:sz w:val="20"/>
              </w:rPr>
              <w:t>A.92-12-043</w:t>
            </w:r>
          </w:p>
          <w:p>
            <w:pPr>
              <w:pStyle w:val="Normal"/>
              <w:rPr>
                <w:sz w:val="20"/>
              </w:rPr>
            </w:pPr>
            <w:r>
              <w:rPr>
                <w:sz w:val="20"/>
              </w:rPr>
              <w:t>(Filed December 21, 1992)</w:t>
            </w:r>
          </w:p>
          <w:p>
            <w:pPr>
              <w:pStyle w:val="Normal"/>
              <w:rPr>
                <w:sz w:val="20"/>
              </w:rPr>
            </w:pPr>
            <w:r>
              <w:rPr>
                <w:sz w:val="20"/>
              </w:rPr>
              <w:t>A.93-03-038</w:t>
            </w:r>
          </w:p>
          <w:p>
            <w:pPr>
              <w:pStyle w:val="Normal"/>
              <w:rPr>
                <w:sz w:val="20"/>
              </w:rPr>
            </w:pPr>
            <w:r>
              <w:rPr>
                <w:sz w:val="20"/>
              </w:rPr>
              <w:t>A.94-05-035</w:t>
            </w:r>
          </w:p>
          <w:p>
            <w:pPr>
              <w:pStyle w:val="Normal"/>
              <w:rPr>
                <w:sz w:val="20"/>
              </w:rPr>
            </w:pPr>
            <w:r>
              <w:rPr>
                <w:sz w:val="20"/>
              </w:rPr>
              <w:t>A.94-06-034</w:t>
            </w:r>
          </w:p>
          <w:p>
            <w:pPr>
              <w:pStyle w:val="Normal"/>
              <w:rPr>
                <w:sz w:val="20"/>
              </w:rPr>
            </w:pPr>
            <w:r>
              <w:rPr>
                <w:sz w:val="20"/>
              </w:rPr>
              <w:t>A.94-09-056</w:t>
            </w:r>
          </w:p>
        </w:tc>
      </w:tr>
      <w:tr>
        <w:trPr>
          <w:trHeight w:val="918" w:hRule="atLeast"/>
        </w:trPr>
        <w:tc>
          <w:tcPr>
            <w:tcW w:w="4968" w:type="dxa"/>
            <w:tcBorders>
              <w:top w:val="single" w:sz="6" w:space="0" w:color="000000"/>
              <w:bottom w:val="single" w:sz="6" w:space="0" w:color="000000"/>
              <w:end w:val="single" w:sz="6" w:space="0" w:color="000000"/>
            </w:tcBorders>
          </w:tcPr>
          <w:p>
            <w:pPr>
              <w:pStyle w:val="Normal"/>
              <w:snapToGrid w:val="false"/>
              <w:rPr>
                <w:sz w:val="20"/>
              </w:rPr>
            </w:pPr>
            <w:r>
              <w:rPr>
                <w:sz w:val="20"/>
              </w:rPr>
            </w:r>
          </w:p>
          <w:p>
            <w:pPr>
              <w:pStyle w:val="Normal"/>
              <w:rPr>
                <w:sz w:val="20"/>
              </w:rPr>
            </w:pPr>
            <w:r>
              <w:rPr>
                <w:sz w:val="20"/>
              </w:rPr>
              <w:t>And Related Matters.</w:t>
            </w:r>
          </w:p>
        </w:tc>
        <w:tc>
          <w:tcPr>
            <w:tcW w:w="360" w:type="dxa"/>
            <w:tcBorders>
              <w:start w:val="single" w:sz="6" w:space="0" w:color="000000"/>
            </w:tcBorders>
          </w:tcPr>
          <w:p>
            <w:pPr>
              <w:pStyle w:val="Normal"/>
              <w:snapToGrid w:val="false"/>
              <w:rPr>
                <w:sz w:val="20"/>
              </w:rPr>
            </w:pPr>
            <w:r>
              <w:rPr>
                <w:sz w:val="20"/>
              </w:rPr>
            </w:r>
          </w:p>
        </w:tc>
        <w:tc>
          <w:tcPr>
            <w:tcW w:w="3780" w:type="dxa"/>
            <w:tcBorders/>
          </w:tcPr>
          <w:p>
            <w:pPr>
              <w:pStyle w:val="Normal"/>
              <w:rPr>
                <w:sz w:val="20"/>
              </w:rPr>
            </w:pPr>
            <w:r>
              <w:rPr>
                <w:sz w:val="20"/>
              </w:rPr>
              <w:t>A.94-06-044</w:t>
            </w:r>
          </w:p>
          <w:p>
            <w:pPr>
              <w:pStyle w:val="Normal"/>
              <w:rPr>
                <w:sz w:val="20"/>
              </w:rPr>
            </w:pPr>
            <w:r>
              <w:rPr>
                <w:sz w:val="20"/>
              </w:rPr>
              <w:t>A.96-08-043</w:t>
            </w:r>
          </w:p>
        </w:tc>
      </w:tr>
      <w:tr>
        <w:trPr>
          <w:trHeight w:val="1099" w:hRule="atLeast"/>
        </w:trPr>
        <w:tc>
          <w:tcPr>
            <w:tcW w:w="4968" w:type="dxa"/>
            <w:tcBorders>
              <w:top w:val="single" w:sz="6" w:space="0" w:color="000000"/>
              <w:bottom w:val="single" w:sz="6" w:space="0" w:color="000000"/>
              <w:end w:val="single" w:sz="6" w:space="0" w:color="000000"/>
            </w:tcBorders>
          </w:tcPr>
          <w:p>
            <w:pPr>
              <w:pStyle w:val="Normal"/>
              <w:pBdr/>
              <w:snapToGrid w:val="false"/>
              <w:rPr>
                <w:sz w:val="20"/>
              </w:rPr>
            </w:pPr>
            <w:r>
              <w:rPr>
                <w:sz w:val="20"/>
              </w:rPr>
            </w:r>
          </w:p>
        </w:tc>
        <w:tc>
          <w:tcPr>
            <w:tcW w:w="360" w:type="dxa"/>
            <w:tcBorders>
              <w:start w:val="single" w:sz="6" w:space="0" w:color="000000"/>
            </w:tcBorders>
          </w:tcPr>
          <w:p>
            <w:pPr>
              <w:pStyle w:val="Normal"/>
              <w:snapToGrid w:val="false"/>
              <w:rPr>
                <w:sz w:val="20"/>
              </w:rPr>
            </w:pPr>
            <w:r>
              <w:rPr>
                <w:sz w:val="20"/>
              </w:rPr>
            </w:r>
          </w:p>
        </w:tc>
        <w:tc>
          <w:tcPr>
            <w:tcW w:w="3780" w:type="dxa"/>
            <w:tcBorders/>
          </w:tcPr>
          <w:p>
            <w:pPr>
              <w:pStyle w:val="Normal"/>
              <w:rPr>
                <w:sz w:val="20"/>
              </w:rPr>
            </w:pPr>
            <w:r>
              <w:rPr>
                <w:sz w:val="20"/>
              </w:rPr>
              <w:t>R.90-02-008</w:t>
            </w:r>
          </w:p>
          <w:p>
            <w:pPr>
              <w:pStyle w:val="Normal"/>
              <w:rPr>
                <w:sz w:val="20"/>
              </w:rPr>
            </w:pPr>
            <w:r>
              <w:rPr>
                <w:sz w:val="20"/>
              </w:rPr>
              <w:t>R.88-08-018</w:t>
            </w:r>
          </w:p>
          <w:p>
            <w:pPr>
              <w:pStyle w:val="Normal"/>
              <w:rPr>
                <w:sz w:val="20"/>
              </w:rPr>
            </w:pPr>
            <w:r>
              <w:rPr>
                <w:sz w:val="20"/>
              </w:rPr>
              <w:t>R.92-12-016</w:t>
            </w:r>
          </w:p>
          <w:p>
            <w:pPr>
              <w:pStyle w:val="Normal"/>
              <w:rPr>
                <w:sz w:val="20"/>
              </w:rPr>
            </w:pPr>
            <w:r>
              <w:rPr>
                <w:sz w:val="20"/>
              </w:rPr>
            </w:r>
          </w:p>
          <w:p>
            <w:pPr>
              <w:pStyle w:val="Normal"/>
              <w:rPr>
                <w:sz w:val="20"/>
              </w:rPr>
            </w:pPr>
            <w:r>
              <w:rPr>
                <w:sz w:val="20"/>
              </w:rPr>
              <w:t>I.92-12-017</w:t>
            </w:r>
          </w:p>
          <w:p>
            <w:pPr>
              <w:pStyle w:val="Normal"/>
              <w:rPr>
                <w:sz w:val="20"/>
              </w:rPr>
            </w:pPr>
            <w:r>
              <w:rPr>
                <w:sz w:val="20"/>
              </w:rPr>
            </w:r>
          </w:p>
          <w:p>
            <w:pPr>
              <w:pStyle w:val="Normal"/>
              <w:rPr>
                <w:sz w:val="20"/>
              </w:rPr>
            </w:pPr>
            <w:r>
              <w:rPr>
                <w:sz w:val="20"/>
              </w:rPr>
              <w:t>A.92-07-049</w:t>
            </w:r>
          </w:p>
          <w:p>
            <w:pPr>
              <w:pStyle w:val="Normal"/>
              <w:rPr>
                <w:sz w:val="20"/>
              </w:rPr>
            </w:pPr>
            <w:r>
              <w:rPr>
                <w:sz w:val="20"/>
              </w:rPr>
              <w:t>A.95-02-008</w:t>
            </w:r>
          </w:p>
          <w:p>
            <w:pPr>
              <w:pStyle w:val="Normal"/>
              <w:rPr>
                <w:sz w:val="20"/>
              </w:rPr>
            </w:pPr>
            <w:r>
              <w:rPr>
                <w:sz w:val="20"/>
              </w:rPr>
              <w:t>A.95-02-010</w:t>
            </w:r>
          </w:p>
          <w:p>
            <w:pPr>
              <w:pStyle w:val="Normal"/>
              <w:rPr>
                <w:sz w:val="20"/>
              </w:rPr>
            </w:pPr>
            <w:r>
              <w:rPr>
                <w:sz w:val="20"/>
              </w:rPr>
              <w:t>A.94-11-015</w:t>
            </w:r>
          </w:p>
          <w:p>
            <w:pPr>
              <w:pStyle w:val="Normal"/>
              <w:rPr>
                <w:sz w:val="20"/>
              </w:rPr>
            </w:pPr>
            <w:r>
              <w:rPr>
                <w:sz w:val="20"/>
              </w:rPr>
              <w:t>A.93-04-011</w:t>
            </w:r>
          </w:p>
          <w:p>
            <w:pPr>
              <w:pStyle w:val="Normal"/>
              <w:rPr>
                <w:sz w:val="20"/>
              </w:rPr>
            </w:pPr>
            <w:r>
              <w:rPr>
                <w:sz w:val="20"/>
              </w:rPr>
              <w:t>A.94-04-002</w:t>
            </w:r>
          </w:p>
          <w:p>
            <w:pPr>
              <w:pStyle w:val="Normal"/>
              <w:rPr>
                <w:sz w:val="20"/>
              </w:rPr>
            </w:pPr>
            <w:r>
              <w:rPr>
                <w:sz w:val="20"/>
              </w:rPr>
              <w:t>A.95-04-002</w:t>
            </w:r>
          </w:p>
          <w:p>
            <w:pPr>
              <w:pStyle w:val="Normal"/>
              <w:rPr>
                <w:sz w:val="20"/>
              </w:rPr>
            </w:pPr>
            <w:r>
              <w:rPr>
                <w:sz w:val="20"/>
              </w:rPr>
              <w:t>A.96-04-001</w:t>
            </w:r>
          </w:p>
          <w:p>
            <w:pPr>
              <w:pStyle w:val="Normal"/>
              <w:rPr>
                <w:sz w:val="20"/>
              </w:rPr>
            </w:pPr>
            <w:r>
              <w:rPr>
                <w:sz w:val="20"/>
              </w:rPr>
              <w:t>A.94-12-039</w:t>
            </w:r>
          </w:p>
        </w:tc>
      </w:tr>
    </w:tbl>
    <w:p>
      <w:pPr>
        <w:pStyle w:val="Normal"/>
        <w:rPr>
          <w:sz w:val="20"/>
        </w:rPr>
      </w:pPr>
      <w:r>
        <w:rPr>
          <w:sz w:val="20"/>
        </w:rPr>
      </w:r>
    </w:p>
    <w:p>
      <w:pPr>
        <w:pStyle w:val="Normal"/>
        <w:rPr>
          <w:sz w:val="20"/>
        </w:rPr>
      </w:pPr>
      <w:r>
        <w:rPr>
          <w:sz w:val="20"/>
        </w:rPr>
      </w:r>
    </w:p>
    <w:p>
      <w:pPr>
        <w:pStyle w:val="Normal"/>
        <w:jc w:val="center"/>
        <w:rPr>
          <w:b/>
          <w:bCs/>
        </w:rPr>
      </w:pPr>
      <w:r>
        <w:rPr>
          <w:b/>
          <w:bCs/>
        </w:rPr>
        <w:t xml:space="preserve">RESPONSE OF THE CALIFORNIA INDUSTRIAL GROUP AND </w:t>
      </w:r>
    </w:p>
    <w:p>
      <w:pPr>
        <w:pStyle w:val="Normal"/>
        <w:jc w:val="center"/>
        <w:rPr>
          <w:b/>
          <w:bCs/>
        </w:rPr>
      </w:pPr>
      <w:r>
        <w:rPr>
          <w:b/>
          <w:bCs/>
        </w:rPr>
        <w:t xml:space="preserve">CALIFORNIA MANUFACTURERS &amp; TECHNOLOGY ASSOCIATION </w:t>
      </w:r>
    </w:p>
    <w:p>
      <w:pPr>
        <w:pStyle w:val="Normal"/>
        <w:jc w:val="center"/>
        <w:rPr>
          <w:b/>
          <w:bCs/>
        </w:rPr>
      </w:pPr>
      <w:r>
        <w:rPr>
          <w:b/>
          <w:bCs/>
        </w:rPr>
        <w:t xml:space="preserve">IN OPPOSITION TO THE EMERGENCY PETITION </w:t>
      </w:r>
    </w:p>
    <w:p>
      <w:pPr>
        <w:pStyle w:val="Normal"/>
        <w:jc w:val="center"/>
        <w:rPr>
          <w:b/>
          <w:bCs/>
        </w:rPr>
      </w:pPr>
      <w:r>
        <w:rPr>
          <w:b/>
          <w:bCs/>
        </w:rPr>
        <w:t>OF ORA AND TURN</w:t>
      </w:r>
    </w:p>
    <w:p>
      <w:pPr>
        <w:pStyle w:val="Normal"/>
        <w:jc w:val="center"/>
        <w:rPr>
          <w:b/>
          <w:bCs/>
        </w:rPr>
      </w:pPr>
      <w:r>
        <w:rPr>
          <w:b/>
          <w:bCs/>
        </w:rPr>
      </w:r>
    </w:p>
    <w:p>
      <w:pPr>
        <w:pStyle w:val="BodyText"/>
        <w:rPr/>
      </w:pPr>
      <w:r>
        <w:rPr/>
        <w:t xml:space="preserve">Pursuant to Rule 47 of the Rules of Practice and Procedure of the Commission, the California Industrial Group and California Manufacturers &amp; Technology Association (CIG/CMTA) hereby submit their response in opposition to the Emergency Petition of ORA and TURN for modification of Decision 97-08-055 and Resolution G-3288.  CIG/CMTA respectfully request that the Commission deny the Emergency Petition in its entirety.  </w:t>
      </w:r>
    </w:p>
    <w:p>
      <w:pPr>
        <w:pStyle w:val="BodyText"/>
        <w:rPr/>
      </w:pPr>
      <w:r>
        <w:rPr/>
        <w:t>ORA and TURN assert that due to PG&amp;E’s deteriorating credit situation, gas suppliers are declining to sell gas to PG&amp;E which, in turn, threatens natural gas service to PG&amp;E’s core customers.  ORA and TURN request that the Commission modify D.97-08-055 such that OFO and EFO penalties would be waived for core customers and that the involuntary diversion charge of $50/Dth would be modified to reflect the market price of gas supply diverted from noncore customers.  With respect to the last request, ORA and TURN are asking the Commission to confiscate noncore customers’ gas supplies for purposes of serving core customers and to compensate noncore customers only for the cost of the gas.  This request fails to recognize that noncore customers most likely will be forced to cease their business operations and receive no compensation for huge production losses.  It is difficult to imagine a more inequitable and harsh result than that proposed by ORA and TURN in their Emergency Petition.</w:t>
      </w:r>
    </w:p>
    <w:p>
      <w:pPr>
        <w:pStyle w:val="Header"/>
        <w:numPr>
          <w:ilvl w:val="0"/>
          <w:numId w:val="12"/>
        </w:numPr>
        <w:ind w:hanging="0" w:start="0"/>
        <w:rPr/>
      </w:pPr>
      <w:r>
        <w:rPr/>
        <w:t>industrial customers should not be forced to use their creditworthiness to supply gas to core customers.</w:t>
      </w:r>
    </w:p>
    <w:p>
      <w:pPr>
        <w:pStyle w:val="BodyText"/>
        <w:rPr/>
      </w:pPr>
      <w:r>
        <w:rPr/>
        <w:t xml:space="preserve">ORA and TURN claim that because the current situation is caused by creditworthiness problems of PG&amp;E and not a physical gas supply shortage, it is somehow appropriate to waive the EFO and OFO penalties and to drastically reduce the compensation associated with confiscation of noncore gas.  CIG/CMTA strongly disagree.  Current tariff language regarding gas diversions is all encompassing.  If PG&amp;E is unable to procure sufficient gas supplies for whatever reasons, the operational condition which results is a supply deficiency for core customers.  In this event, PG&amp;E is authorized to divert gas from noncore customers subject to the $50/Dth compensation provision.  The cause of the supply deficiency on the PG&amp;E system is irrelevant to the level of compensation for confiscated gas.  </w:t>
      </w:r>
    </w:p>
    <w:p>
      <w:pPr>
        <w:pStyle w:val="BodyText"/>
        <w:rPr/>
      </w:pPr>
      <w:r>
        <w:rPr/>
        <w:t xml:space="preserve">If the Commission and the State are unwilling or unable to place PG&amp;E on a financial footing sufficient to procure natural gas supplies for its core customers, then the responsibility should not fall upon noncore customers who have adequate creditworthiness to procure gas for their own needs.  CIG/CMTA members are strongly opposed to any diversion of their gas supplies to serve core customers.  However, if such a diversion does occur, then at a bare minimum it is essential that noncore customers be compensated at the $50/Dth rate which has been a long-standing provision in the tariff.  Indeed, this provision was incorporated into the Gas Accord settlement which ORA actively supported.  </w:t>
      </w:r>
    </w:p>
    <w:p>
      <w:pPr>
        <w:pStyle w:val="BodyText"/>
        <w:rPr/>
      </w:pPr>
      <w:r>
        <w:rPr/>
        <w:t xml:space="preserve">Many noncore customers were forced to close their businesses in November and December of last year due to extremely high natural gas prices.  The lost of production during this period already has threaten the viability of many of these businesses.  Now, ORA and TURN would further threaten these businesses by confiscating their natural gas supplies and compensating them only for the cost of the gas.  The $50/Dth diversion charge at least would allow these customers to recoup some of their production losses resulting from confiscation of their gas supplies.  CIG/CMTA submit that there is no basis whatsoever for any change in the charge associated with confiscation of noncore gas supplies.  </w:t>
      </w:r>
    </w:p>
    <w:p>
      <w:pPr>
        <w:pStyle w:val="Header"/>
        <w:numPr>
          <w:ilvl w:val="0"/>
          <w:numId w:val="12"/>
        </w:numPr>
        <w:ind w:hanging="0" w:start="0"/>
        <w:rPr/>
      </w:pPr>
      <w:r>
        <w:rPr/>
        <w:t>pg&amp;e’s deteriorating financial condition is fully consistent with the positions advocated by ora and turn in the emergency rate proceedings.</w:t>
      </w:r>
    </w:p>
    <w:p>
      <w:pPr>
        <w:pStyle w:val="BodyText"/>
        <w:rPr/>
      </w:pPr>
      <w:r>
        <w:rPr/>
        <w:t>In the recent emergency hearings regarding the electric utilities rate stabilization proposals, both ORA and TURN took strong positions against any rate increase for the utilities.  Indeed, TURN even went so far as to suggest that allowing the utilities to go bankrupt was an acceptable outcome.  The inability of PG&amp;E to procure adequate gas supplies for its core customers is a result of the failure of the Commission and the State to take any meaningful action to address the financial status of PG&amp;E.</w:t>
      </w:r>
      <w:r>
        <w:rPr>
          <w:rStyle w:val="FootnoteCharacters"/>
          <w:rStyle w:val="FootnoteReference"/>
        </w:rPr>
        <w:footnoteReference w:id="2"/>
      </w:r>
      <w:r>
        <w:rPr/>
        <w:t xml:space="preserve">  Thus, ORA and TURN are now reaping the seeds that they have sown in other forums such as the emergency rate hearings.  For parties who supposedly seek to protect the interest of core customers, the positions of ORA and TURN have been extremely short-sighted and, in some cases, irresponsible.  Now, they expect the gas supplies acquired by noncore customers to bail them out.  While it may be politically attractive in some quarters to take a hard stance against the utilities, there comes a time when “posturing” gives way to the realities of the market. The simple fact is that PG&amp;E will not be able to continue to procure gas for its customers unless some action is taken either to guarantee PG&amp;E’s payment obligations under its gas supply contracts or to insert some other creditworthy entity into PG&amp;E’s gas procurement function.  The Emergency Petition of ORA and TURN does not address the root of the problem and will only force businesses to shutdown without being adequately compensated.  It is imperative that the Commission take immediate action so that a creditworthy entity can procure adequate gas supplies for core customers.  </w:t>
      </w:r>
    </w:p>
    <w:p>
      <w:pPr>
        <w:pStyle w:val="Header"/>
        <w:numPr>
          <w:ilvl w:val="0"/>
          <w:numId w:val="12"/>
        </w:numPr>
        <w:ind w:hanging="0" w:start="0"/>
        <w:rPr/>
      </w:pPr>
      <w:r>
        <w:rPr/>
        <w:t>the ora and turn proposal will EXACERBATE electric shortages and will encourage noncore customers and their marketers to sell their gas elsewhere.</w:t>
      </w:r>
    </w:p>
    <w:p>
      <w:pPr>
        <w:pStyle w:val="BodyText"/>
        <w:rPr/>
      </w:pPr>
      <w:r>
        <w:rPr/>
        <w:t xml:space="preserve">Unfortunately, it has become common place for ORA and TURN to advance drastic proposals without assessing their consequences.  The Emergency Petition is yet another example.  </w:t>
      </w:r>
    </w:p>
    <w:p>
      <w:pPr>
        <w:pStyle w:val="BodyText"/>
        <w:rPr/>
      </w:pPr>
      <w:r>
        <w:rPr/>
        <w:t xml:space="preserve">Diversion of noncore gas supplies will force gas-fired electric generators and QFs to curtail their operations.  Such a result will clearly worsen the current electrical shortage which should be the last thing that the Commission would want to have happen.  Overall, the ORA and TURN proposal would make a bad situation considerably worse both for noncore gas customers and electric consumers statewide.  Rather than wasting time on such a wholly counterproductive proposal, the Commission should focus on direct solutions that enable natural gas procurement for core customers to continue </w:t>
      </w:r>
      <w:r>
        <w:rPr>
          <w:i/>
          <w:iCs/>
        </w:rPr>
        <w:t>via</w:t>
      </w:r>
      <w:r>
        <w:rPr/>
        <w:t xml:space="preserve"> a creditworthy entity.</w:t>
      </w:r>
    </w:p>
    <w:p>
      <w:pPr>
        <w:pStyle w:val="BodyText"/>
        <w:rPr/>
      </w:pPr>
      <w:r>
        <w:rPr/>
        <w:t>Moreover, if compensation for confiscation of noncore gas were to be reduced from $50 per Dth to a market rate, the most likely consequence will be that noncore customers and their marketers will simply sell their gas elsewhere rather than incur the costs to transport it within California.  The ORA and TURN proposal presents a false sense of security since it implicitly assumes that if PG&amp;E is unable to procure adequate gas supplies for core  customers, the difference can be made up through noncore diversions.  That simply will not happen.</w:t>
      </w:r>
    </w:p>
    <w:p>
      <w:pPr>
        <w:pStyle w:val="BodyText"/>
        <w:rPr/>
      </w:pPr>
      <w:r>
        <w:rPr/>
        <w:t xml:space="preserve">Wherefore, for the foregoing reasons, CIG/CMTA respectfully request that the Commission reject the Emergency Petition of ORA and TURN.  The proposals in the Emergency Petition are extremely ill-conceived and would be wholly counterproductive. </w:t>
      </w:r>
    </w:p>
    <w:p>
      <w:pPr>
        <w:pStyle w:val="Normal"/>
        <w:rPr/>
      </w:pPr>
      <w:r>
        <w:rPr/>
        <w:tab/>
        <w:tab/>
        <w:tab/>
        <w:tab/>
        <w:tab/>
        <w:tab/>
        <w:tab/>
        <w:t>Respectfully submitted,</w:t>
      </w:r>
    </w:p>
    <w:p>
      <w:pPr>
        <w:pStyle w:val="Normal"/>
        <w:keepNext w:val="true"/>
        <w:keepLines/>
        <w:rPr/>
      </w:pPr>
      <w:r>
        <w:rPr/>
      </w:r>
    </w:p>
    <w:p>
      <w:pPr>
        <w:pStyle w:val="Normal"/>
        <w:keepNext w:val="true"/>
        <w:keepLines/>
        <w:rPr/>
      </w:pPr>
      <w:r>
        <w:rPr/>
      </w:r>
    </w:p>
    <w:p>
      <w:pPr>
        <w:pStyle w:val="Normal"/>
        <w:keepNext w:val="true"/>
        <w:keepLines/>
        <w:rPr/>
      </w:pPr>
      <w:r>
        <w:rPr/>
        <w:tab/>
        <w:tab/>
        <w:tab/>
        <w:tab/>
      </w:r>
    </w:p>
    <w:p>
      <w:pPr>
        <w:pStyle w:val="Normal"/>
        <w:keepNext w:val="true"/>
        <w:keepLines/>
        <w:rPr/>
      </w:pPr>
      <w:r>
        <w:rPr/>
      </w:r>
    </w:p>
    <w:p>
      <w:pPr>
        <w:pStyle w:val="Normal"/>
        <w:keepNext w:val="true"/>
        <w:keepLines/>
        <w:rPr/>
      </w:pPr>
      <w:r>
        <w:rPr/>
        <w:tab/>
        <w:tab/>
        <w:tab/>
        <w:tab/>
        <w:tab/>
        <w:tab/>
        <w:tab/>
        <w:t>Keith R. McCrea</w:t>
      </w:r>
    </w:p>
    <w:p>
      <w:pPr>
        <w:pStyle w:val="Normal"/>
        <w:keepNext w:val="true"/>
        <w:keepLines/>
        <w:rPr/>
      </w:pPr>
      <w:r>
        <w:rPr/>
        <w:tab/>
        <w:tab/>
        <w:tab/>
        <w:tab/>
        <w:tab/>
        <w:tab/>
        <w:tab/>
      </w:r>
      <w:r>
        <w:rPr>
          <w:smallCaps/>
        </w:rPr>
        <w:t>Sutherland Asbill &amp; Brennan LLP</w:t>
      </w:r>
    </w:p>
    <w:p>
      <w:pPr>
        <w:pStyle w:val="Normal"/>
        <w:keepNext w:val="true"/>
        <w:keepLines/>
        <w:rPr/>
      </w:pPr>
      <w:r>
        <w:rPr/>
        <w:tab/>
        <w:tab/>
        <w:tab/>
        <w:tab/>
        <w:tab/>
        <w:tab/>
        <w:tab/>
        <w:t>1275 Pennsylvania Avenue, N.W.</w:t>
      </w:r>
    </w:p>
    <w:p>
      <w:pPr>
        <w:pStyle w:val="Normal"/>
        <w:keepNext w:val="true"/>
        <w:keepLines/>
        <w:rPr/>
      </w:pPr>
      <w:r>
        <w:rPr/>
        <w:tab/>
        <w:tab/>
        <w:tab/>
        <w:tab/>
        <w:tab/>
        <w:tab/>
        <w:tab/>
        <w:t>Washington, D.C. 20004</w:t>
      </w:r>
    </w:p>
    <w:p>
      <w:pPr>
        <w:pStyle w:val="Normal"/>
        <w:keepNext w:val="true"/>
        <w:keepLines/>
        <w:rPr/>
      </w:pPr>
      <w:r>
        <w:rPr/>
        <w:tab/>
        <w:tab/>
        <w:tab/>
        <w:tab/>
        <w:tab/>
        <w:tab/>
        <w:tab/>
        <w:t>(202) 383-0100</w:t>
      </w:r>
    </w:p>
    <w:p>
      <w:pPr>
        <w:pStyle w:val="Normal"/>
        <w:keepNext w:val="true"/>
        <w:keepLines/>
        <w:rPr/>
      </w:pPr>
      <w:r>
        <w:rPr/>
      </w:r>
    </w:p>
    <w:p>
      <w:pPr>
        <w:pStyle w:val="Normal"/>
        <w:keepNext w:val="true"/>
        <w:keepLines/>
        <w:rPr/>
      </w:pPr>
      <w:r>
        <w:rPr/>
        <w:tab/>
        <w:tab/>
        <w:tab/>
        <w:tab/>
        <w:tab/>
      </w:r>
      <w:r>
        <w:rPr>
          <w:i/>
        </w:rPr>
        <w:tab/>
        <w:tab/>
        <w:t>Attorney for the</w:t>
      </w:r>
    </w:p>
    <w:p>
      <w:pPr>
        <w:pStyle w:val="Normal"/>
        <w:keepNext w:val="true"/>
        <w:keepLines/>
        <w:rPr>
          <w:i/>
          <w:i/>
        </w:rPr>
      </w:pPr>
      <w:r>
        <w:rPr>
          <w:i/>
        </w:rPr>
        <w:tab/>
        <w:tab/>
        <w:tab/>
        <w:tab/>
        <w:tab/>
        <w:tab/>
        <w:tab/>
        <w:t>California Industrial Group and</w:t>
      </w:r>
    </w:p>
    <w:p>
      <w:pPr>
        <w:pStyle w:val="Normal"/>
        <w:keepNext w:val="true"/>
        <w:keepLines/>
        <w:rPr/>
      </w:pPr>
      <w:r>
        <w:rPr>
          <w:i/>
        </w:rPr>
        <w:tab/>
      </w:r>
      <w:r>
        <w:rPr/>
        <w:tab/>
        <w:tab/>
        <w:tab/>
        <w:tab/>
        <w:tab/>
        <w:tab/>
      </w:r>
      <w:r>
        <w:rPr>
          <w:i/>
          <w:iCs/>
        </w:rPr>
        <w:t xml:space="preserve">California Manufacturers &amp; </w:t>
      </w:r>
    </w:p>
    <w:p>
      <w:pPr>
        <w:pStyle w:val="BodyText"/>
        <w:ind w:hanging="0" w:start="5040" w:end="0"/>
        <w:rPr>
          <w:i/>
          <w:i/>
          <w:iCs/>
        </w:rPr>
      </w:pPr>
      <w:r>
        <w:rPr>
          <w:i/>
          <w:iCs/>
        </w:rPr>
        <w:t>Technology Association</w:t>
      </w:r>
    </w:p>
    <w:p>
      <w:pPr>
        <w:sectPr>
          <w:footerReference w:type="default" r:id="rId4"/>
          <w:footerReference w:type="first" r:id="rId5"/>
          <w:footnotePr>
            <w:numFmt w:val="decimal"/>
          </w:footnotePr>
          <w:type w:val="nextPage"/>
          <w:pgSz w:w="12240" w:h="15840"/>
          <w:pgMar w:left="1440" w:right="1440" w:gutter="0" w:header="0" w:top="1440" w:footer="720" w:bottom="1440"/>
          <w:pgNumType w:start="1" w:fmt="decimal"/>
          <w:formProt w:val="false"/>
          <w:titlePg/>
          <w:textDirection w:val="lrTb"/>
          <w:docGrid w:type="default" w:linePitch="360" w:charSpace="0"/>
        </w:sectPr>
        <w:pStyle w:val="BodyText"/>
        <w:rPr/>
      </w:pPr>
      <w:r>
        <w:rPr/>
        <w:t>January 19, 2001</w:t>
      </w:r>
    </w:p>
    <w:p>
      <w:pPr>
        <w:pStyle w:val="Normal"/>
        <w:jc w:val="center"/>
        <w:rPr>
          <w:rFonts w:ascii="Dutch Roman 12pt" w:hAnsi="Dutch Roman 12pt" w:cs="Dutch Roman 12pt"/>
        </w:rPr>
      </w:pPr>
      <w:r>
        <w:rPr>
          <w:b/>
        </w:rPr>
        <w:t>CERTIFICATE OF SERVICE</w:t>
      </w:r>
    </w:p>
    <w:p>
      <w:pPr>
        <w:pStyle w:val="Normal"/>
        <w:jc w:val="both"/>
        <w:rPr>
          <w:rFonts w:ascii="Dutch Roman 12pt" w:hAnsi="Dutch Roman 12pt" w:cs="Dutch Roman 12pt"/>
        </w:rPr>
      </w:pPr>
      <w:r>
        <w:rPr>
          <w:rFonts w:cs="Dutch Roman 12pt" w:ascii="Dutch Roman 12pt" w:hAnsi="Dutch Roman 12pt"/>
        </w:rPr>
      </w:r>
    </w:p>
    <w:p>
      <w:pPr>
        <w:pStyle w:val="BodyText"/>
        <w:rPr/>
      </w:pPr>
      <w:r>
        <w:rPr/>
        <w:t>I hereby certify that I have this day served a copy of the foregoing “Response of the California Industrial Group and California Manufacturers &amp; Technology Association in Opposition to the Emergency Petition of ORA and TURN” upon each person designated on the official service list compiled in this proceeding.</w:t>
      </w:r>
    </w:p>
    <w:p>
      <w:pPr>
        <w:pStyle w:val="BodyText"/>
        <w:rPr/>
      </w:pPr>
      <w:r>
        <w:rPr>
          <w:rFonts w:cs="Dutch Roman 12pt" w:ascii="Dutch Roman 12pt" w:hAnsi="Dutch Roman 12pt"/>
        </w:rPr>
        <w:t>Dated at Washington, D.C. this 19</w:t>
      </w:r>
      <w:r>
        <w:rPr>
          <w:rFonts w:cs="Dutch Roman 12pt" w:ascii="Dutch Roman 12pt" w:hAnsi="Dutch Roman 12pt"/>
          <w:vertAlign w:val="superscript"/>
        </w:rPr>
        <w:t>th</w:t>
      </w:r>
      <w:r>
        <w:rPr>
          <w:rFonts w:cs="Dutch Roman 12pt" w:ascii="Dutch Roman 12pt" w:hAnsi="Dutch Roman 12pt"/>
        </w:rPr>
        <w:t xml:space="preserve"> day of January, 2001.</w:t>
      </w:r>
    </w:p>
    <w:p>
      <w:pPr>
        <w:pStyle w:val="Normal"/>
        <w:spacing w:lineRule="atLeast" w:line="480"/>
        <w:jc w:val="both"/>
        <w:rPr>
          <w:rFonts w:ascii="Dutch Roman 12pt" w:hAnsi="Dutch Roman 12pt" w:cs="Dutch Roman 12pt"/>
        </w:rPr>
      </w:pPr>
      <w:r>
        <w:rPr>
          <w:rFonts w:cs="Dutch Roman 12pt" w:ascii="Dutch Roman 12pt" w:hAnsi="Dutch Roman 12pt"/>
        </w:rPr>
      </w:r>
    </w:p>
    <w:p>
      <w:pPr>
        <w:pStyle w:val="Normal"/>
        <w:spacing w:lineRule="atLeast" w:line="480"/>
        <w:jc w:val="both"/>
        <w:rPr>
          <w:rFonts w:ascii="Dutch Roman 12pt" w:hAnsi="Dutch Roman 12pt" w:cs="Dutch Roman 12pt"/>
          <w:u w:val="single"/>
        </w:rPr>
      </w:pPr>
      <w:r>
        <w:rPr>
          <w:rFonts w:cs="Dutch Roman 12pt" w:ascii="Dutch Roman 12pt" w:hAnsi="Dutch Roman 12pt"/>
          <w:u w:val="single"/>
        </w:rPr>
      </w:r>
    </w:p>
    <w:p>
      <w:pPr>
        <w:pStyle w:val="Normal"/>
        <w:jc w:val="both"/>
        <w:rPr>
          <w:b/>
        </w:rPr>
      </w:pPr>
      <w:r>
        <w:rPr>
          <w:b/>
        </w:rPr>
        <w:tab/>
        <w:tab/>
        <w:tab/>
        <w:tab/>
        <w:tab/>
        <w:tab/>
        <w:t>_______________________________________</w:t>
      </w:r>
    </w:p>
    <w:p>
      <w:pPr>
        <w:sectPr>
          <w:footerReference w:type="default" r:id="rId6"/>
          <w:footerReference w:type="first" r:id="rId7"/>
          <w:footnotePr>
            <w:numFmt w:val="decimal"/>
          </w:footnotePr>
          <w:type w:val="nextPage"/>
          <w:pgSz w:w="12240" w:h="15840"/>
          <w:pgMar w:left="1440" w:right="1440" w:gutter="0" w:header="0" w:top="1440" w:footer="720" w:bottom="1440"/>
          <w:pgNumType w:fmt="decimal"/>
          <w:formProt w:val="false"/>
          <w:textDirection w:val="lrTb"/>
          <w:docGrid w:type="default" w:linePitch="360" w:charSpace="0"/>
        </w:sectPr>
        <w:pStyle w:val="Normal"/>
        <w:rPr/>
      </w:pPr>
      <w:r>
        <w:rPr>
          <w:b/>
        </w:rPr>
        <w:tab/>
        <w:tab/>
        <w:tab/>
        <w:tab/>
        <w:tab/>
        <w:tab/>
      </w:r>
      <w:r>
        <w:rPr>
          <w:bCs/>
        </w:rPr>
        <w:t>Jody Smith</w:t>
      </w:r>
    </w:p>
    <w:p>
      <w:pPr>
        <w:pStyle w:val="BodyText"/>
        <w:spacing w:before="0" w:after="240"/>
        <w:ind w:hanging="0" w:end="0"/>
        <w:rPr/>
      </w:pPr>
      <w:r>
        <w:rPr/>
      </w:r>
    </w:p>
    <w:sectPr>
      <w:footerReference w:type="default" r:id="rId8"/>
      <w:footerReference w:type="first" r:id="rId9"/>
      <w:footnotePr>
        <w:numFmt w:val="decimal"/>
      </w:footnotePr>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 w:name="Courier New">
    <w:charset w:val="00" w:characterSet="windows-1252"/>
    <w:family w:val="modern"/>
    <w:pitch w:val="default"/>
  </w:font>
  <w:font w:name="Dutch Roman 12pt">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283210" cy="20955"/>
              <wp:effectExtent l="0" t="0" r="0" b="0"/>
              <wp:wrapSquare wrapText="bothSides"/>
              <wp:docPr id="1" name="Frame1"/>
              <a:graphic xmlns:a="http://schemas.openxmlformats.org/drawingml/2006/main">
                <a:graphicData uri="http://schemas.microsoft.com/office/word/2010/wordprocessingShape">
                  <wps:wsp>
                    <wps:cNvSpPr txBox="1"/>
                    <wps:spPr>
                      <a:xfrm>
                        <a:off x="0" y="0"/>
                        <a:ext cx="283210" cy="20955"/>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22.3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14605" cy="175260"/>
              <wp:effectExtent l="0" t="0" r="0" b="0"/>
              <wp:wrapSquare wrapText="bothSides"/>
              <wp:docPr id="2" name="Frame2"/>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233.45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It is obvious that neither the ten percent rate increase granted by the Commission nor the recent enactment of SB 7X will restore the creditworthiness of the utilities.</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upperRoman"/>
      <w:lvlText w:val="%1."/>
      <w:lvlJc w:val="start"/>
      <w:pPr>
        <w:tabs>
          <w:tab w:val="num" w:pos="720"/>
        </w:tabs>
        <w:ind w:start="720" w:hanging="720"/>
      </w:pPr>
      <w:rPr/>
    </w:lvl>
  </w:abstractNum>
  <w:abstractNum w:abstractNumId="13">
    <w:lvl w:ilvl="0">
      <w:start w:val="1"/>
      <w:numFmt w:val="upperLetter"/>
      <w:lvlText w:val="%1."/>
      <w:lvlJc w:val="start"/>
      <w:pPr>
        <w:tabs>
          <w:tab w:val="num" w:pos="720"/>
        </w:tabs>
        <w:ind w:start="720" w:hanging="720"/>
      </w:pPr>
      <w:rPr>
        <w:i w:val="false"/>
        <w:b/>
      </w:rPr>
    </w:lvl>
    <w:lvl w:ilvl="1">
      <w:start w:val="1"/>
      <w:numFmt w:val="decimal"/>
      <w:lvlText w:val="Section %2."/>
      <w:lvlJc w:val="start"/>
      <w:pPr>
        <w:tabs>
          <w:tab w:val="num" w:pos="1080"/>
        </w:tabs>
        <w:ind w:start="0" w:hanging="0"/>
      </w:pPr>
      <w:rPr/>
    </w:lvl>
    <w:lvl w:ilvl="2">
      <w:start w:val="1"/>
      <w:isLgl/>
      <w:numFmt w:val="decimal"/>
      <w:lvlText w:val="%1.%3"/>
      <w:lvlJc w:val="start"/>
      <w:pPr>
        <w:tabs>
          <w:tab w:val="num" w:pos="1440"/>
        </w:tabs>
        <w:ind w:start="1440" w:hanging="720"/>
      </w:pPr>
      <w:rPr/>
    </w:lvl>
    <w:lvl w:ilvl="3">
      <w:start w:val="1"/>
      <w:numFmt w:val="lowerLetter"/>
      <w:lvlText w:val="(%4)"/>
      <w:lvlJc w:val="start"/>
      <w:pPr>
        <w:tabs>
          <w:tab w:val="num" w:pos="1368"/>
        </w:tabs>
        <w:ind w:start="1368" w:hanging="648"/>
      </w:pPr>
      <w:rPr/>
    </w:lvl>
    <w:lvl w:ilvl="4">
      <w:start w:val="1"/>
      <w:numFmt w:val="decimal"/>
      <w:lvlText w:val="(%5)"/>
      <w:lvlJc w:val="start"/>
      <w:pPr>
        <w:tabs>
          <w:tab w:val="num" w:pos="1872"/>
        </w:tabs>
        <w:ind w:start="1872" w:hanging="792"/>
      </w:pPr>
      <w:rPr/>
    </w:lvl>
    <w:lvl w:ilvl="5">
      <w:start w:val="1"/>
      <w:numFmt w:val="lowerRoman"/>
      <w:lvlText w:val="%6."/>
      <w:lvlJc w:val="start"/>
      <w:pPr>
        <w:tabs>
          <w:tab w:val="num" w:pos="2376"/>
        </w:tabs>
        <w:ind w:start="2376" w:hanging="936"/>
      </w:pPr>
      <w:rPr/>
    </w:lvl>
    <w:lvl w:ilvl="6">
      <w:start w:val="1"/>
      <w:numFmt w:val="decimal"/>
      <w:lvlText w:val="%7."/>
      <w:lvlJc w:val="start"/>
      <w:pPr>
        <w:tabs>
          <w:tab w:val="num" w:pos="2880"/>
        </w:tabs>
        <w:ind w:start="2880" w:hanging="1080"/>
      </w:pPr>
      <w:rPr/>
    </w:lvl>
    <w:lvl w:ilvl="7">
      <w:start w:val="1"/>
      <w:numFmt w:val="upperLetter"/>
      <w:lvlText w:val="%8."/>
      <w:lvlJc w:val="start"/>
      <w:pPr>
        <w:tabs>
          <w:tab w:val="num" w:pos="3384"/>
        </w:tabs>
        <w:ind w:start="3384" w:hanging="1224"/>
      </w:pPr>
      <w:rPr/>
    </w:lvl>
    <w:lvl w:ilvl="8">
      <w:start w:val="1"/>
      <w:numFmt w:val="decimal"/>
      <w:lvlText w:val="%9)"/>
      <w:lvlJc w:val="start"/>
      <w:pPr>
        <w:tabs>
          <w:tab w:val="num" w:pos="3960"/>
        </w:tabs>
        <w:ind w:start="3960" w:hanging="1440"/>
      </w:pPr>
      <w:rPr/>
    </w:lvl>
  </w:abstractNum>
  <w:abstractNum w:abstractNumId="14">
    <w:lvl w:ilvl="0">
      <w:start w:val="5"/>
      <w:numFmt w:val="lowerRoman"/>
      <w:suff w:val="nothing"/>
      <w:lvlText w:val="A(%1)"/>
      <w:lvlJc w:val="center"/>
      <w:pPr>
        <w:tabs>
          <w:tab w:val="num" w:pos="0"/>
        </w:tabs>
        <w:ind w:start="0" w:hanging="0"/>
      </w:p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val="bestFit" w:percent="20"/>
  <w:defaultTabStop w:val="720"/>
  <w:autoHyphenation w:val="true"/>
  <w:hyphenationZone w:val="0"/>
  <w:footnotePr>
    <w:numFmt w:val="decimal"/>
    <w:footnote w:id="0"/>
    <w:footnote w:id="1"/>
  </w:footnotePr>
  <w:compat>
    <w:compatSetting w:name="compatibilityMode" w:uri="http://schemas.microsoft.com/office/word" w:val="11"/>
  </w:compat>
  <w:docVars>
    <w:docVar w:name="NoIDBy" w:val="01192001"/>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Heading2"/>
    <w:qFormat/>
    <w:pPr>
      <w:keepNext w:val="true"/>
      <w:numPr>
        <w:ilvl w:val="0"/>
        <w:numId w:val="1"/>
      </w:numPr>
      <w:spacing w:before="0" w:after="240"/>
      <w:jc w:val="center"/>
      <w:outlineLvl w:val="0"/>
    </w:pPr>
    <w:rPr>
      <w:kern w:val="2"/>
    </w:rPr>
  </w:style>
  <w:style w:type="paragraph" w:styleId="Heading2">
    <w:name w:val="heading 2"/>
    <w:basedOn w:val="Normal"/>
    <w:next w:val="BodyText"/>
    <w:qFormat/>
    <w:pPr>
      <w:keepNext w:val="true"/>
      <w:numPr>
        <w:ilvl w:val="0"/>
        <w:numId w:val="13"/>
      </w:numPr>
      <w:tabs>
        <w:tab w:val="clear" w:pos="720"/>
        <w:tab w:val="left" w:pos="1440" w:leader="none"/>
      </w:tabs>
      <w:spacing w:before="0" w:after="240"/>
      <w:outlineLvl w:val="1"/>
    </w:pPr>
    <w:rPr>
      <w:b/>
    </w:rPr>
  </w:style>
  <w:style w:type="paragraph" w:styleId="Heading3">
    <w:name w:val="heading 3"/>
    <w:basedOn w:val="Normal"/>
    <w:next w:val="BodyText"/>
    <w:qFormat/>
    <w:pPr>
      <w:numPr>
        <w:ilvl w:val="0"/>
        <w:numId w:val="13"/>
      </w:numPr>
      <w:spacing w:before="0" w:after="240"/>
      <w:outlineLvl w:val="2"/>
    </w:pPr>
    <w:rPr/>
  </w:style>
  <w:style w:type="paragraph" w:styleId="Heading4">
    <w:name w:val="heading 4"/>
    <w:basedOn w:val="Normal"/>
    <w:next w:val="BodyText"/>
    <w:qFormat/>
    <w:pPr>
      <w:numPr>
        <w:ilvl w:val="0"/>
        <w:numId w:val="13"/>
      </w:numPr>
      <w:spacing w:before="0" w:after="240"/>
      <w:outlineLvl w:val="3"/>
    </w:pPr>
    <w:rPr/>
  </w:style>
  <w:style w:type="paragraph" w:styleId="Heading5">
    <w:name w:val="heading 5"/>
    <w:basedOn w:val="Normal"/>
    <w:next w:val="BodyText"/>
    <w:qFormat/>
    <w:pPr>
      <w:numPr>
        <w:ilvl w:val="0"/>
        <w:numId w:val="13"/>
      </w:numPr>
      <w:spacing w:before="0" w:after="240"/>
      <w:outlineLvl w:val="4"/>
    </w:pPr>
    <w:rPr/>
  </w:style>
  <w:style w:type="paragraph" w:styleId="Heading6">
    <w:name w:val="heading 6"/>
    <w:basedOn w:val="Normal"/>
    <w:next w:val="BodyText"/>
    <w:qFormat/>
    <w:pPr>
      <w:numPr>
        <w:ilvl w:val="0"/>
        <w:numId w:val="13"/>
      </w:numPr>
      <w:spacing w:before="0" w:after="240"/>
      <w:outlineLvl w:val="5"/>
    </w:pPr>
    <w:rPr/>
  </w:style>
  <w:style w:type="paragraph" w:styleId="Heading7">
    <w:name w:val="heading 7"/>
    <w:basedOn w:val="Normal"/>
    <w:next w:val="BodyText"/>
    <w:qFormat/>
    <w:pPr>
      <w:numPr>
        <w:ilvl w:val="0"/>
        <w:numId w:val="13"/>
      </w:numPr>
      <w:spacing w:before="0" w:after="240"/>
      <w:outlineLvl w:val="6"/>
    </w:pPr>
    <w:rPr/>
  </w:style>
  <w:style w:type="paragraph" w:styleId="Heading8">
    <w:name w:val="heading 8"/>
    <w:basedOn w:val="Normal"/>
    <w:next w:val="BodyText"/>
    <w:qFormat/>
    <w:pPr>
      <w:numPr>
        <w:ilvl w:val="0"/>
        <w:numId w:val="13"/>
      </w:numPr>
      <w:spacing w:before="0" w:after="240"/>
      <w:outlineLvl w:val="7"/>
    </w:pPr>
    <w:rPr/>
  </w:style>
  <w:style w:type="paragraph" w:styleId="Heading9">
    <w:name w:val="heading 9"/>
    <w:basedOn w:val="Normal"/>
    <w:next w:val="BodyText"/>
    <w:qFormat/>
    <w:pPr>
      <w:numPr>
        <w:ilvl w:val="0"/>
        <w:numId w:val="13"/>
      </w:numPr>
      <w:spacing w:before="0" w:after="240"/>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style>
  <w:style w:type="character" w:styleId="WW8Num12z0">
    <w:name w:val="WW8Num12z0"/>
    <w:qFormat/>
    <w:rPr/>
  </w:style>
  <w:style w:type="character" w:styleId="WW8Num13z0">
    <w:name w:val="WW8Num13z0"/>
    <w:qFormat/>
    <w:rPr>
      <w:b/>
      <w:i w:val="false"/>
    </w:rPr>
  </w:style>
  <w:style w:type="character" w:styleId="WW8Num13z1">
    <w:name w:val="WW8Num13z1"/>
    <w:qFormat/>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Emphasis">
    <w:name w:val="Emphasis"/>
    <w:basedOn w:val="DefaultParagraphFont"/>
    <w:qFormat/>
    <w:rPr>
      <w:i/>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none"/>
    </w:rPr>
  </w:style>
  <w:style w:type="character" w:styleId="LineNumber">
    <w:name w:val="line number"/>
    <w:basedOn w:val="DefaultParagraphFont"/>
    <w:rPr/>
  </w:style>
  <w:style w:type="character" w:styleId="PageNumber">
    <w:name w:val="page number"/>
    <w:basedOn w:val="DefaultParagraphFont"/>
    <w:rPr/>
  </w:style>
  <w:style w:type="character" w:styleId="Strong">
    <w:name w:val="Strong"/>
    <w:basedOn w:val="DefaultParagraphFont"/>
    <w:qFormat/>
    <w:rPr>
      <w:b/>
    </w:rPr>
  </w:style>
  <w:style w:type="character" w:styleId="FootnoteReference">
    <w:name w:val="footnote reference"/>
    <w:rPr>
      <w:vertAlign w:val="superscript"/>
    </w:rPr>
  </w:style>
  <w:style w:type="character" w:styleId="EndnoteReference">
    <w:name w:val="endnote reference"/>
    <w:rPr>
      <w:vertAlign w:val="superscript"/>
    </w:rPr>
  </w:style>
  <w:style w:type="paragraph" w:styleId="Heading">
    <w:name w:val="Heading"/>
    <w:basedOn w:val="Normal"/>
    <w:next w:val="Subtitle"/>
    <w:qFormat/>
    <w:pPr>
      <w:spacing w:before="240" w:after="60"/>
      <w:jc w:val="center"/>
      <w:outlineLvl w:val="0"/>
    </w:pPr>
    <w:rPr>
      <w:b/>
      <w:kern w:val="2"/>
      <w:sz w:val="32"/>
    </w:rPr>
  </w:style>
  <w:style w:type="paragraph" w:styleId="BodyText">
    <w:name w:val="Body Text"/>
    <w:basedOn w:val="Normal"/>
    <w:pPr>
      <w:spacing w:lineRule="auto" w:line="480" w:before="0" w:after="240"/>
      <w:ind w:firstLine="720" w:start="0" w:end="0"/>
    </w:pPr>
    <w:rPr/>
  </w:style>
  <w:style w:type="paragraph" w:styleId="List">
    <w:name w:val="List"/>
    <w:basedOn w:val="Normal"/>
    <w:pPr>
      <w:ind w:hanging="360" w:start="360" w:end="0"/>
    </w:pPr>
    <w:rPr>
      <w:sz w:val="24"/>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AddressLine1">
    <w:name w:val="Address Line 1"/>
    <w:basedOn w:val="Normal"/>
    <w:next w:val="Normal"/>
    <w:qFormat/>
    <w:pPr/>
    <w:rPr>
      <w:sz w:val="24"/>
    </w:rPr>
  </w:style>
  <w:style w:type="paragraph" w:styleId="BatesRoman">
    <w:name w:val="BatesRoman"/>
    <w:basedOn w:val="Normal"/>
    <w:next w:val="Normal"/>
    <w:qFormat/>
    <w:pPr>
      <w:numPr>
        <w:ilvl w:val="0"/>
        <w:numId w:val="14"/>
      </w:numPr>
      <w:jc w:val="center"/>
    </w:pPr>
    <w:rPr>
      <w:sz w:val="24"/>
    </w:rPr>
  </w:style>
  <w:style w:type="paragraph" w:styleId="BlockText">
    <w:name w:val="Block Text"/>
    <w:basedOn w:val="Normal"/>
    <w:qFormat/>
    <w:pPr>
      <w:spacing w:before="0" w:after="120"/>
      <w:ind w:hanging="0" w:start="1440" w:end="1440"/>
    </w:pPr>
    <w:rPr>
      <w:sz w:val="24"/>
    </w:rPr>
  </w:style>
  <w:style w:type="paragraph" w:styleId="BodyTextFirstIndent">
    <w:name w:val="Body Text First Indent"/>
    <w:basedOn w:val="Normal"/>
    <w:qFormat/>
    <w:pPr>
      <w:spacing w:before="0" w:after="120"/>
      <w:ind w:firstLine="210" w:start="0" w:end="0"/>
    </w:pPr>
    <w:rPr/>
  </w:style>
  <w:style w:type="paragraph" w:styleId="BodyTextIndent">
    <w:name w:val="Body Text Indent"/>
    <w:basedOn w:val="Normal"/>
    <w:pPr>
      <w:spacing w:before="0" w:after="120"/>
      <w:ind w:hanging="0" w:start="360" w:end="0"/>
    </w:pPr>
    <w:rPr>
      <w:sz w:val="24"/>
    </w:rPr>
  </w:style>
  <w:style w:type="paragraph" w:styleId="BodyTextFirstIndent2">
    <w:name w:val="Body Text First Indent 2"/>
    <w:basedOn w:val="BodyTextIndent"/>
    <w:qFormat/>
    <w:pPr>
      <w:ind w:firstLine="210" w:start="360" w:end="0"/>
    </w:pPr>
    <w:rPr/>
  </w:style>
  <w:style w:type="paragraph" w:styleId="BodyTextIndent2">
    <w:name w:val="Body Text Indent 2"/>
    <w:basedOn w:val="Normal"/>
    <w:qFormat/>
    <w:pPr>
      <w:spacing w:lineRule="auto" w:line="480" w:before="0" w:after="120"/>
      <w:ind w:hanging="0" w:start="360" w:end="0"/>
    </w:pPr>
    <w:rPr>
      <w:sz w:val="24"/>
    </w:rPr>
  </w:style>
  <w:style w:type="paragraph" w:styleId="BodyTextIndent3">
    <w:name w:val="Body Text Indent 3"/>
    <w:basedOn w:val="Normal"/>
    <w:qFormat/>
    <w:pPr>
      <w:spacing w:before="0" w:after="120"/>
      <w:ind w:hanging="0" w:start="360" w:end="0"/>
    </w:pPr>
    <w:rPr>
      <w:sz w:val="16"/>
    </w:rPr>
  </w:style>
  <w:style w:type="paragraph" w:styleId="Closing">
    <w:name w:val="Closing"/>
    <w:basedOn w:val="Normal"/>
    <w:qFormat/>
    <w:pPr>
      <w:ind w:hanging="0" w:start="4320" w:end="0"/>
    </w:pPr>
    <w:rPr>
      <w:sz w:val="24"/>
    </w:rPr>
  </w:style>
  <w:style w:type="paragraph" w:styleId="CommentText">
    <w:name w:val="Comment Text"/>
    <w:basedOn w:val="Normal"/>
    <w:qFormat/>
    <w:pPr/>
    <w:rPr/>
  </w:style>
  <w:style w:type="paragraph" w:styleId="Date">
    <w:name w:val="Date"/>
    <w:basedOn w:val="Normal"/>
    <w:next w:val="Normal"/>
    <w:qFormat/>
    <w:pPr>
      <w:spacing w:before="360" w:after="720"/>
      <w:ind w:hanging="0" w:start="3600" w:end="0"/>
    </w:pPr>
    <w:rPr>
      <w:sz w:val="24"/>
    </w:rPr>
  </w:style>
  <w:style w:type="paragraph" w:styleId="DocID">
    <w:name w:val="DocID"/>
    <w:basedOn w:val="Normal"/>
    <w:qFormat/>
    <w:pPr/>
    <w:rPr>
      <w:sz w:val="16"/>
    </w:rPr>
  </w:style>
  <w:style w:type="paragraph" w:styleId="DocumentMap">
    <w:name w:val="Document Map"/>
    <w:basedOn w:val="Normal"/>
    <w:qFormat/>
    <w:pPr>
      <w:shd w:fill="000080" w:val="clear"/>
    </w:pPr>
    <w:rPr>
      <w:rFonts w:ascii="Tahoma" w:hAnsi="Tahoma" w:cs="Tahoma"/>
      <w:sz w:val="24"/>
    </w:rPr>
  </w:style>
  <w:style w:type="paragraph" w:styleId="EndnoteText">
    <w:name w:val="endnote text"/>
    <w:basedOn w:val="Normal"/>
    <w:pPr/>
    <w:rPr/>
  </w:style>
  <w:style w:type="paragraph" w:styleId="EnvelopeAddress">
    <w:name w:val="envelope address"/>
    <w:basedOn w:val="Normal"/>
    <w:pPr>
      <w:ind w:hanging="0" w:start="2880" w:end="0"/>
    </w:pPr>
    <w:rPr>
      <w:rFonts w:ascii="Arial" w:hAnsi="Arial" w:cs="Arial"/>
      <w:sz w:val="24"/>
    </w:rPr>
  </w:style>
  <w:style w:type="paragraph" w:styleId="EnvelopeReturn">
    <w:name w:val="envelope return"/>
    <w:basedOn w:val="Normal"/>
    <w:pPr/>
    <w:rPr>
      <w:rFonts w:ascii="Arial" w:hAnsi="Arial" w:cs="Arial"/>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pPr>
    <w:rPr>
      <w:sz w:val="24"/>
    </w:rPr>
  </w:style>
  <w:style w:type="paragraph" w:styleId="FootnoteText">
    <w:name w:val="footnote text"/>
    <w:basedOn w:val="Normal"/>
    <w:pPr/>
    <w:rPr/>
  </w:style>
  <w:style w:type="paragraph" w:styleId="Header">
    <w:name w:val="header"/>
    <w:basedOn w:val="Normal"/>
    <w:next w:val="BodyText"/>
    <w:pPr>
      <w:numPr>
        <w:ilvl w:val="0"/>
        <w:numId w:val="12"/>
      </w:numPr>
      <w:spacing w:before="0" w:after="240"/>
    </w:pPr>
    <w:rPr>
      <w:b/>
      <w:caps/>
    </w:rPr>
  </w:style>
  <w:style w:type="paragraph" w:styleId="Index1">
    <w:name w:val="index 1"/>
    <w:basedOn w:val="Normal"/>
    <w:next w:val="Normal"/>
    <w:pPr>
      <w:ind w:hanging="240" w:start="240" w:end="0"/>
    </w:pPr>
    <w:rPr>
      <w:sz w:val="24"/>
    </w:rPr>
  </w:style>
  <w:style w:type="paragraph" w:styleId="Index2">
    <w:name w:val="index 2"/>
    <w:basedOn w:val="Normal"/>
    <w:next w:val="Normal"/>
    <w:pPr>
      <w:ind w:hanging="240" w:start="480" w:end="0"/>
    </w:pPr>
    <w:rPr>
      <w:sz w:val="24"/>
    </w:rPr>
  </w:style>
  <w:style w:type="paragraph" w:styleId="Index3">
    <w:name w:val="index 3"/>
    <w:basedOn w:val="Normal"/>
    <w:next w:val="Normal"/>
    <w:pPr>
      <w:ind w:hanging="240" w:start="720" w:end="0"/>
    </w:pPr>
    <w:rPr>
      <w:sz w:val="24"/>
    </w:rPr>
  </w:style>
  <w:style w:type="paragraph" w:styleId="Index4">
    <w:name w:val="Index 4"/>
    <w:basedOn w:val="Normal"/>
    <w:next w:val="Normal"/>
    <w:qFormat/>
    <w:pPr>
      <w:ind w:hanging="240" w:start="960" w:end="0"/>
    </w:pPr>
    <w:rPr>
      <w:sz w:val="24"/>
    </w:rPr>
  </w:style>
  <w:style w:type="paragraph" w:styleId="Index5">
    <w:name w:val="Index 5"/>
    <w:basedOn w:val="Normal"/>
    <w:next w:val="Normal"/>
    <w:qFormat/>
    <w:pPr>
      <w:ind w:hanging="240" w:start="1200" w:end="0"/>
    </w:pPr>
    <w:rPr>
      <w:sz w:val="24"/>
    </w:rPr>
  </w:style>
  <w:style w:type="paragraph" w:styleId="Index6">
    <w:name w:val="Index 6"/>
    <w:basedOn w:val="Normal"/>
    <w:next w:val="Normal"/>
    <w:qFormat/>
    <w:pPr>
      <w:ind w:hanging="240" w:start="1440" w:end="0"/>
    </w:pPr>
    <w:rPr>
      <w:sz w:val="24"/>
    </w:rPr>
  </w:style>
  <w:style w:type="paragraph" w:styleId="Index7">
    <w:name w:val="Index 7"/>
    <w:basedOn w:val="Normal"/>
    <w:next w:val="Normal"/>
    <w:qFormat/>
    <w:pPr>
      <w:ind w:hanging="240" w:start="1680" w:end="0"/>
    </w:pPr>
    <w:rPr>
      <w:sz w:val="24"/>
    </w:rPr>
  </w:style>
  <w:style w:type="paragraph" w:styleId="Index8">
    <w:name w:val="Index 8"/>
    <w:basedOn w:val="Normal"/>
    <w:next w:val="Normal"/>
    <w:qFormat/>
    <w:pPr>
      <w:ind w:hanging="240" w:start="1920" w:end="0"/>
    </w:pPr>
    <w:rPr>
      <w:sz w:val="24"/>
    </w:rPr>
  </w:style>
  <w:style w:type="paragraph" w:styleId="Index9">
    <w:name w:val="Index 9"/>
    <w:basedOn w:val="Normal"/>
    <w:next w:val="Normal"/>
    <w:qFormat/>
    <w:pPr>
      <w:ind w:hanging="240" w:start="2160" w:end="0"/>
    </w:pPr>
    <w:rPr>
      <w:sz w:val="24"/>
    </w:rPr>
  </w:style>
  <w:style w:type="paragraph" w:styleId="IndexHeading">
    <w:name w:val="index heading"/>
    <w:basedOn w:val="Normal"/>
    <w:next w:val="Index1"/>
    <w:pPr/>
    <w:rPr>
      <w:b/>
      <w:sz w:val="24"/>
    </w:rPr>
  </w:style>
  <w:style w:type="paragraph" w:styleId="Letterhead">
    <w:name w:val="Letterhead"/>
    <w:basedOn w:val="Normal"/>
    <w:qFormat/>
    <w:pPr>
      <w:tabs>
        <w:tab w:val="clear" w:pos="720"/>
        <w:tab w:val="left" w:pos="6336" w:leader="none"/>
      </w:tabs>
      <w:ind w:hanging="0" w:start="4838" w:end="0"/>
    </w:pPr>
    <w:rPr>
      <w:rFonts w:ascii="Arial" w:hAnsi="Arial" w:cs="Arial"/>
      <w:sz w:val="14"/>
    </w:rPr>
  </w:style>
  <w:style w:type="paragraph" w:styleId="ListBullet2">
    <w:name w:val="List Bullet 2"/>
    <w:basedOn w:val="Normal"/>
    <w:pPr>
      <w:ind w:hanging="360" w:start="720" w:end="0"/>
    </w:pPr>
    <w:rPr>
      <w:sz w:val="24"/>
    </w:rPr>
  </w:style>
  <w:style w:type="paragraph" w:styleId="ListBullet3">
    <w:name w:val="List Bullet 3"/>
    <w:basedOn w:val="Normal"/>
    <w:pPr>
      <w:ind w:hanging="360" w:start="1080" w:end="0"/>
    </w:pPr>
    <w:rPr>
      <w:sz w:val="24"/>
    </w:rPr>
  </w:style>
  <w:style w:type="paragraph" w:styleId="ListBullet4">
    <w:name w:val="List Bullet 4"/>
    <w:basedOn w:val="Normal"/>
    <w:pPr>
      <w:ind w:hanging="360" w:start="1440" w:end="0"/>
    </w:pPr>
    <w:rPr>
      <w:sz w:val="24"/>
    </w:rPr>
  </w:style>
  <w:style w:type="paragraph" w:styleId="ListBullet5">
    <w:name w:val="List Bullet 5"/>
    <w:basedOn w:val="Normal"/>
    <w:pPr>
      <w:ind w:hanging="360" w:start="1800" w:end="0"/>
    </w:pPr>
    <w:rPr>
      <w:sz w:val="24"/>
    </w:rPr>
  </w:style>
  <w:style w:type="paragraph" w:styleId="ListBullet">
    <w:name w:val="List Bullet"/>
    <w:basedOn w:val="Normal"/>
    <w:qFormat/>
    <w:pPr>
      <w:numPr>
        <w:ilvl w:val="0"/>
        <w:numId w:val="11"/>
      </w:numPr>
    </w:pPr>
    <w:rPr>
      <w:sz w:val="24"/>
    </w:rPr>
  </w:style>
  <w:style w:type="paragraph" w:styleId="ListBullet21">
    <w:name w:val="List Bullet 21"/>
    <w:basedOn w:val="Normal"/>
    <w:qFormat/>
    <w:pPr>
      <w:numPr>
        <w:ilvl w:val="0"/>
        <w:numId w:val="9"/>
      </w:numPr>
    </w:pPr>
    <w:rPr>
      <w:sz w:val="24"/>
    </w:rPr>
  </w:style>
  <w:style w:type="paragraph" w:styleId="ListBullet31">
    <w:name w:val="List Bullet 31"/>
    <w:basedOn w:val="Normal"/>
    <w:qFormat/>
    <w:pPr>
      <w:numPr>
        <w:ilvl w:val="0"/>
        <w:numId w:val="8"/>
      </w:numPr>
    </w:pPr>
    <w:rPr>
      <w:sz w:val="24"/>
    </w:rPr>
  </w:style>
  <w:style w:type="paragraph" w:styleId="ListBullet41">
    <w:name w:val="List Bullet 41"/>
    <w:basedOn w:val="Normal"/>
    <w:qFormat/>
    <w:pPr>
      <w:numPr>
        <w:ilvl w:val="0"/>
        <w:numId w:val="7"/>
      </w:numPr>
    </w:pPr>
    <w:rPr>
      <w:sz w:val="24"/>
    </w:rPr>
  </w:style>
  <w:style w:type="paragraph" w:styleId="ListBullet51">
    <w:name w:val="List Bullet 51"/>
    <w:basedOn w:val="Normal"/>
    <w:qFormat/>
    <w:pPr>
      <w:numPr>
        <w:ilvl w:val="0"/>
        <w:numId w:val="6"/>
      </w:numPr>
    </w:pPr>
    <w:rPr>
      <w:sz w:val="24"/>
    </w:rPr>
  </w:style>
  <w:style w:type="paragraph" w:styleId="ListContinue">
    <w:name w:val="List Continue"/>
    <w:basedOn w:val="Normal"/>
    <w:qFormat/>
    <w:pPr>
      <w:spacing w:before="0" w:after="120"/>
      <w:ind w:hanging="0" w:start="360" w:end="0"/>
    </w:pPr>
    <w:rPr>
      <w:sz w:val="24"/>
    </w:rPr>
  </w:style>
  <w:style w:type="paragraph" w:styleId="ListContinue2">
    <w:name w:val="List Continue 2"/>
    <w:basedOn w:val="Normal"/>
    <w:qFormat/>
    <w:pPr>
      <w:spacing w:before="0" w:after="120"/>
      <w:ind w:hanging="0" w:start="720" w:end="0"/>
    </w:pPr>
    <w:rPr>
      <w:sz w:val="24"/>
    </w:rPr>
  </w:style>
  <w:style w:type="paragraph" w:styleId="ListContinue3">
    <w:name w:val="List Continue 3"/>
    <w:basedOn w:val="Normal"/>
    <w:qFormat/>
    <w:pPr>
      <w:spacing w:before="0" w:after="120"/>
      <w:ind w:hanging="0" w:start="1080" w:end="0"/>
    </w:pPr>
    <w:rPr>
      <w:sz w:val="24"/>
    </w:rPr>
  </w:style>
  <w:style w:type="paragraph" w:styleId="ListContinue4">
    <w:name w:val="List Continue 4"/>
    <w:basedOn w:val="Normal"/>
    <w:qFormat/>
    <w:pPr>
      <w:spacing w:before="0" w:after="120"/>
      <w:ind w:hanging="0" w:start="1440" w:end="0"/>
    </w:pPr>
    <w:rPr>
      <w:sz w:val="24"/>
    </w:rPr>
  </w:style>
  <w:style w:type="paragraph" w:styleId="ListContinue5">
    <w:name w:val="List Continue 5"/>
    <w:basedOn w:val="Normal"/>
    <w:qFormat/>
    <w:pPr>
      <w:spacing w:before="0" w:after="120"/>
      <w:ind w:hanging="0" w:start="1800" w:end="0"/>
    </w:pPr>
    <w:rPr>
      <w:sz w:val="24"/>
    </w:rPr>
  </w:style>
  <w:style w:type="paragraph" w:styleId="ListNumber">
    <w:name w:val="List Number"/>
    <w:basedOn w:val="Normal"/>
    <w:qFormat/>
    <w:pPr>
      <w:numPr>
        <w:ilvl w:val="0"/>
        <w:numId w:val="10"/>
      </w:numPr>
    </w:pPr>
    <w:rPr>
      <w:sz w:val="24"/>
    </w:rPr>
  </w:style>
  <w:style w:type="paragraph" w:styleId="ListNumber2">
    <w:name w:val="List Number 2"/>
    <w:basedOn w:val="Normal"/>
    <w:qFormat/>
    <w:pPr>
      <w:numPr>
        <w:ilvl w:val="0"/>
        <w:numId w:val="5"/>
      </w:numPr>
    </w:pPr>
    <w:rPr>
      <w:sz w:val="24"/>
    </w:rPr>
  </w:style>
  <w:style w:type="paragraph" w:styleId="ListNumber3">
    <w:name w:val="List Number 3"/>
    <w:basedOn w:val="Normal"/>
    <w:qFormat/>
    <w:pPr>
      <w:numPr>
        <w:ilvl w:val="0"/>
        <w:numId w:val="4"/>
      </w:numPr>
    </w:pPr>
    <w:rPr>
      <w:sz w:val="24"/>
    </w:rPr>
  </w:style>
  <w:style w:type="paragraph" w:styleId="ListNumber4">
    <w:name w:val="List Number 4"/>
    <w:basedOn w:val="Normal"/>
    <w:qFormat/>
    <w:pPr>
      <w:numPr>
        <w:ilvl w:val="0"/>
        <w:numId w:val="3"/>
      </w:numPr>
    </w:pPr>
    <w:rPr>
      <w:sz w:val="24"/>
    </w:rPr>
  </w:style>
  <w:style w:type="paragraph" w:styleId="ListNumber5">
    <w:name w:val="List Number 5"/>
    <w:basedOn w:val="Normal"/>
    <w:qFormat/>
    <w:pPr>
      <w:numPr>
        <w:ilvl w:val="0"/>
        <w:numId w:val="2"/>
      </w:numPr>
    </w:pPr>
    <w:rPr>
      <w:sz w:val="24"/>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sz w:val="24"/>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Courier New"/>
      <w:sz w:val="20"/>
    </w:rPr>
  </w:style>
  <w:style w:type="paragraph" w:styleId="Salutation">
    <w:name w:val="Salutation"/>
    <w:basedOn w:val="Normal"/>
    <w:next w:val="Normal"/>
    <w:qFormat/>
    <w:pPr>
      <w:spacing w:before="240" w:after="240"/>
    </w:pPr>
    <w:rPr/>
  </w:style>
  <w:style w:type="paragraph" w:styleId="Signature">
    <w:name w:val="Signature"/>
    <w:basedOn w:val="Normal"/>
    <w:pPr>
      <w:ind w:hanging="0" w:start="4320" w:end="0"/>
    </w:pPr>
    <w:rPr/>
  </w:style>
  <w:style w:type="paragraph" w:styleId="Subtitle">
    <w:name w:val="Subtitle"/>
    <w:basedOn w:val="Normal"/>
    <w:next w:val="Normal"/>
    <w:qFormat/>
    <w:pPr>
      <w:spacing w:before="0" w:after="60"/>
      <w:jc w:val="center"/>
      <w:outlineLvl w:val="1"/>
    </w:pPr>
    <w:rPr>
      <w:sz w:val="28"/>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0"/>
    </w:pPr>
    <w:rPr>
      <w:b/>
    </w:rPr>
  </w:style>
  <w:style w:type="paragraph" w:styleId="TOC1">
    <w:name w:val="toc 1"/>
    <w:basedOn w:val="Normal"/>
    <w:next w:val="Normal"/>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VIA">
    <w:name w:val="VIA"/>
    <w:basedOn w:val="Normal"/>
    <w:next w:val="Normal"/>
    <w:qFormat/>
    <w:pPr/>
    <w:rPr>
      <w:b/>
      <w:smallCaps/>
      <w:u w:val="single"/>
    </w:rPr>
  </w:style>
  <w:style w:type="paragraph" w:styleId="BodyText2">
    <w:name w:val="Body Text 2"/>
    <w:basedOn w:val="BodyText"/>
    <w:qFormat/>
    <w:pPr>
      <w:ind w:firstLine="1440" w:start="0" w:end="0"/>
    </w:pPr>
    <w:rPr/>
  </w:style>
  <w:style w:type="paragraph" w:styleId="BodyText3">
    <w:name w:val="Body Text 3"/>
    <w:basedOn w:val="BodyText"/>
    <w:qFormat/>
    <w:pPr>
      <w:ind w:firstLine="2160" w:start="0" w:end="0"/>
    </w:pPr>
    <w:rPr/>
  </w:style>
  <w:style w:type="paragraph" w:styleId="BodyText4">
    <w:name w:val="Body Text 4"/>
    <w:basedOn w:val="BodyText"/>
    <w:qFormat/>
    <w:pPr>
      <w:ind w:firstLine="2880" w:start="0" w:end="0"/>
    </w:pPr>
    <w:rPr/>
  </w:style>
  <w:style w:type="paragraph" w:styleId="BodyText5">
    <w:name w:val="Body Text 5"/>
    <w:basedOn w:val="BodyText"/>
    <w:qFormat/>
    <w:pPr>
      <w:ind w:firstLine="3600" w:start="0" w:end="0"/>
    </w:pPr>
    <w:rPr/>
  </w:style>
  <w:style w:type="paragraph" w:styleId="BodyText6">
    <w:name w:val="Body Text 6"/>
    <w:basedOn w:val="BodyText"/>
    <w:qFormat/>
    <w:pPr>
      <w:ind w:firstLine="4320" w:start="0" w:end="0"/>
    </w:pPr>
    <w:rPr/>
  </w:style>
  <w:style w:type="paragraph" w:styleId="BodyText7">
    <w:name w:val="Body Text 7"/>
    <w:basedOn w:val="BodyText"/>
    <w:qFormat/>
    <w:pPr>
      <w:ind w:firstLine="5040" w:start="0" w:end="0"/>
    </w:pPr>
    <w:rPr/>
  </w:style>
  <w:style w:type="paragraph" w:styleId="BodyText8">
    <w:name w:val="Body Text 8"/>
    <w:basedOn w:val="BodyText"/>
    <w:qFormat/>
    <w:pPr>
      <w:ind w:firstLine="5760" w:start="0" w:end="0"/>
    </w:pPr>
    <w:rPr/>
  </w:style>
  <w:style w:type="paragraph" w:styleId="BodyText9">
    <w:name w:val="Body Text 9"/>
    <w:basedOn w:val="BodyText"/>
    <w:qFormat/>
    <w:pPr>
      <w:ind w:firstLine="6480" w:start="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notes" Target="footnotes.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2001-01-19T18:25:00Z</dcterms:created>
  <dc:creator>Aearly</dc:creator>
  <dc:description/>
  <dc:language>en-CA</dc:language>
  <cp:lastModifiedBy>Jsmith</cp:lastModifiedBy>
  <cp:lastPrinted>2001-01-19T15:07:00Z</cp:lastPrinted>
  <dcterms:modified xsi:type="dcterms:W3CDTF">2001-01-19T18:25:00Z</dcterms:modified>
  <cp:revision>2</cp:revision>
  <dc:subject/>
  <dc:title>PROTEST OF THE CALIFORNIA MANUFACTURERS &amp;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ber">
    <vt:lpwstr>C:\NrPortbl\WO\JSMITH\1863_1.DOC</vt:lpwstr>
  </property>
</Properties>
</file>