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PRELIMINARY "WORLD HUNGER" DISCUSSION POINTS</w:t>
      </w:r>
    </w:p>
    <w:p>
      <w:pPr>
        <w:pStyle w:val="Normal"/>
        <w:rPr/>
      </w:pPr>
      <w:r>
        <w:rPr/>
      </w:r>
    </w:p>
    <w:p>
      <w:pPr>
        <w:pStyle w:val="Normal"/>
        <w:rPr/>
      </w:pPr>
      <w:r>
        <w:rPr/>
      </w:r>
    </w:p>
    <w:p>
      <w:pPr>
        <w:pStyle w:val="Normal"/>
        <w:rPr/>
      </w:pPr>
      <w:r>
        <w:rPr/>
      </w:r>
    </w:p>
    <w:p>
      <w:pPr>
        <w:pStyle w:val="Normal"/>
        <w:ind w:hanging="2880" w:start="2880" w:end="0"/>
        <w:rPr/>
      </w:pPr>
      <w:r>
        <w:rPr/>
        <w:t>1.    Section 3.8</w:t>
        <w:tab/>
        <w:t>Break out Seller obligation in Section 3.8 to comply with the Specifications and associated remedies for failure to perform.  Currently tied to language and remedies generally otherwise addressing compliance with governmental rules.</w:t>
      </w:r>
    </w:p>
    <w:p>
      <w:pPr>
        <w:pStyle w:val="Normal"/>
        <w:ind w:hanging="2880" w:start="2880" w:end="0"/>
        <w:rPr/>
      </w:pPr>
      <w:r>
        <w:rPr/>
      </w:r>
    </w:p>
    <w:p>
      <w:pPr>
        <w:pStyle w:val="Normal"/>
        <w:ind w:hanging="2880" w:start="2880" w:end="0"/>
        <w:rPr/>
      </w:pPr>
      <w:r>
        <w:rPr/>
        <w:t>2.   Section 3.8</w:t>
        <w:tab/>
        <w:t>Review language for Compliance with Governmental Rules and tie to the Article on Limitations of Liability (LOL).</w:t>
      </w:r>
    </w:p>
    <w:p>
      <w:pPr>
        <w:pStyle w:val="Normal"/>
        <w:ind w:hanging="2880" w:start="2880" w:end="0"/>
        <w:rPr/>
      </w:pPr>
      <w:r>
        <w:rPr/>
      </w:r>
    </w:p>
    <w:p>
      <w:pPr>
        <w:pStyle w:val="Normal"/>
        <w:ind w:hanging="2880" w:start="2880" w:end="0"/>
        <w:rPr/>
      </w:pPr>
      <w:r>
        <w:rPr/>
        <w:t>3.  Article XVIII</w:t>
        <w:tab/>
        <w:t>Review provisions on strikes at local Vendors facilities and similar ties to LOL.</w:t>
      </w:r>
    </w:p>
    <w:p>
      <w:pPr>
        <w:pStyle w:val="Normal"/>
        <w:ind w:hanging="2880" w:start="2880" w:end="0"/>
        <w:rPr/>
      </w:pPr>
      <w:r>
        <w:rPr/>
      </w:r>
    </w:p>
    <w:p>
      <w:pPr>
        <w:pStyle w:val="Normal"/>
        <w:ind w:hanging="2880" w:start="2880" w:end="0"/>
        <w:rPr/>
      </w:pPr>
      <w:r>
        <w:rPr/>
        <w:t>4.  Article XI</w:t>
        <w:tab/>
        <w:t>Change Order.  Address methodology for pricing changes.</w:t>
      </w:r>
    </w:p>
    <w:p>
      <w:pPr>
        <w:pStyle w:val="Normal"/>
        <w:ind w:hanging="2880" w:start="2880" w:end="0"/>
        <w:rPr/>
      </w:pPr>
      <w:r>
        <w:rPr/>
      </w:r>
    </w:p>
    <w:p>
      <w:pPr>
        <w:pStyle w:val="Normal"/>
        <w:ind w:hanging="2880" w:start="2880" w:end="0"/>
        <w:rPr/>
      </w:pPr>
      <w:r>
        <w:rPr/>
        <w:t>5.  Article XXII</w:t>
        <w:tab/>
        <w:t>Assignment.  Global review for consistency and financial flexibility.</w:t>
      </w:r>
    </w:p>
    <w:p>
      <w:pPr>
        <w:pStyle w:val="Normal"/>
        <w:ind w:hanging="2880" w:start="2880" w:end="0"/>
        <w:rPr/>
      </w:pPr>
      <w:r>
        <w:rPr/>
      </w:r>
    </w:p>
    <w:p>
      <w:pPr>
        <w:pStyle w:val="Normal"/>
        <w:ind w:hanging="2880" w:start="2880" w:end="0"/>
        <w:rPr/>
      </w:pPr>
      <w:r>
        <w:rPr/>
        <w:t>6.  Article XIV and XXX</w:t>
        <w:tab/>
        <w:t>Warranties and Representations and Warrants.  General discussion of sufficiency of Reps &amp; Warrants.</w:t>
      </w:r>
    </w:p>
    <w:p>
      <w:pPr>
        <w:pStyle w:val="Normal"/>
        <w:ind w:hanging="2880" w:start="2880" w:end="0"/>
        <w:rPr/>
      </w:pPr>
      <w:r>
        <w:rPr/>
      </w:r>
    </w:p>
    <w:p>
      <w:pPr>
        <w:pStyle w:val="Normal"/>
        <w:ind w:hanging="2880" w:start="2880" w:end="0"/>
        <w:rPr/>
      </w:pPr>
      <w:r>
        <w:rPr/>
        <w:t>7. General</w:t>
        <w:tab/>
        <w:t>Review Marketing Agreement provisions and its ties to cancellation and assignment.</w:t>
      </w:r>
    </w:p>
    <w:p>
      <w:pPr>
        <w:pStyle w:val="Normal"/>
        <w:ind w:hanging="2880" w:start="2880" w:end="0"/>
        <w:rPr/>
      </w:pPr>
      <w:r>
        <w:rPr/>
      </w:r>
    </w:p>
    <w:p>
      <w:pPr>
        <w:pStyle w:val="Normal"/>
        <w:ind w:hanging="2880" w:start="2880" w:end="0"/>
        <w:rPr/>
      </w:pPr>
      <w:r>
        <w:rPr/>
        <w:t>8. General</w:t>
        <w:tab/>
        <w:t>Review Off Balance Sheet Lender required language.</w:t>
      </w:r>
    </w:p>
    <w:p>
      <w:pPr>
        <w:pStyle w:val="Normal"/>
        <w:ind w:hanging="2880" w:start="2880" w:end="0"/>
        <w:rPr/>
      </w:pPr>
      <w:r>
        <w:rPr/>
      </w:r>
    </w:p>
    <w:p>
      <w:pPr>
        <w:pStyle w:val="Normal"/>
        <w:ind w:hanging="2880" w:start="2880" w:end="0"/>
        <w:rPr/>
      </w:pPr>
      <w:r>
        <w:rPr/>
        <w:t>9.  General</w:t>
        <w:tab/>
        <w:t>Limitation of time clauses for: indemnification, parent guarantees and expiration of the Agreement (long stop date of obligations).  Need a reciprocal of the Seller LOL end date.</w:t>
      </w:r>
    </w:p>
    <w:p>
      <w:pPr>
        <w:pStyle w:val="Normal"/>
        <w:ind w:hanging="2880" w:start="2880" w:end="0"/>
        <w:rPr/>
      </w:pPr>
      <w:r>
        <w:rPr/>
      </w:r>
    </w:p>
    <w:p>
      <w:pPr>
        <w:pStyle w:val="Normal"/>
        <w:ind w:hanging="2880" w:start="2880" w:end="0"/>
        <w:rPr/>
      </w:pPr>
      <w:r>
        <w:rPr/>
        <w:t>10.  Article XXVII</w:t>
        <w:tab/>
        <w:t>Review  several issues within LOL Article including Vendor carve out, compliance with laws and treatment of proceeds of insurance.</w:t>
      </w:r>
    </w:p>
    <w:p>
      <w:pPr>
        <w:pStyle w:val="Normal"/>
        <w:ind w:hanging="2880" w:start="2880" w:end="0"/>
        <w:rPr/>
      </w:pPr>
      <w:r>
        <w:rPr/>
      </w:r>
    </w:p>
    <w:p>
      <w:pPr>
        <w:pStyle w:val="Normal"/>
        <w:ind w:hanging="2880" w:start="2880" w:end="0"/>
        <w:rPr/>
      </w:pPr>
      <w:r>
        <w:rPr/>
        <w:t>11.  Article XX</w:t>
        <w:tab/>
        <w:t>Discuss presentation of new indemnity language.</w:t>
      </w:r>
    </w:p>
    <w:p>
      <w:pPr>
        <w:pStyle w:val="Normal"/>
        <w:ind w:hanging="2880" w:start="2880" w:end="0"/>
        <w:rPr/>
      </w:pPr>
      <w:r>
        <w:rPr/>
      </w:r>
    </w:p>
    <w:p>
      <w:pPr>
        <w:pStyle w:val="Normal"/>
        <w:ind w:hanging="2880" w:start="2880" w:end="0"/>
        <w:rPr/>
      </w:pPr>
      <w:r>
        <w:rPr/>
        <w:t>12.  Article XX</w:t>
        <w:tab/>
        <w:t>Discuss separation of indemnity language for each indemnification contained in the Contract (ie., separate 3rd Party indemnity from Hazardous Materials indemnity, etc)</w:t>
      </w:r>
    </w:p>
    <w:p>
      <w:pPr>
        <w:pStyle w:val="Normal"/>
        <w:ind w:hanging="2880" w:start="2880" w:end="0"/>
        <w:rPr/>
      </w:pPr>
      <w:r>
        <w:rPr/>
      </w:r>
    </w:p>
    <w:p>
      <w:pPr>
        <w:pStyle w:val="Normal"/>
        <w:ind w:hanging="2880" w:start="288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2000-06-29T12:13:00Z</dcterms:created>
  <dc:creator>Enron Technology</dc:creator>
  <dc:description/>
  <dc:language>en-CA</dc:language>
  <cp:lastModifiedBy>Enron Technology</cp:lastModifiedBy>
  <dcterms:modified xsi:type="dcterms:W3CDTF">2000-06-30T21:09:00Z</dcterms:modified>
  <cp:revision>4</cp:revision>
  <dc:subject/>
  <dc:title>WORLD HUNGER ISSUE POINTS</dc:title>
</cp:coreProperties>
</file>