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240" w:after="60"/>
        <w:ind w:hanging="0" w:start="0"/>
        <w:jc w:val="center"/>
        <w:rPr>
          <w:color w:val="FF0000"/>
        </w:rPr>
      </w:pPr>
      <w:r>
        <w:rPr/>
        <w:t xml:space="preserve">STRATEGY FOR REGULATORY DIALOGUE WITH WORLD BANK AND IFIs </w:t>
      </w:r>
    </w:p>
    <w:p>
      <w:pPr>
        <w:pStyle w:val="Normal"/>
        <w:rPr>
          <w:b/>
          <w:color w:val="FF0000"/>
          <w:sz w:val="24"/>
        </w:rPr>
      </w:pPr>
      <w:r>
        <w:rPr>
          <w:b/>
          <w:color w:val="FF0000"/>
          <w:sz w:val="24"/>
        </w:rPr>
      </w:r>
    </w:p>
    <w:p>
      <w:pPr>
        <w:pStyle w:val="Normal"/>
        <w:rPr>
          <w:b/>
          <w:sz w:val="24"/>
        </w:rPr>
      </w:pPr>
      <w:r>
        <w:rPr>
          <w:b/>
          <w:sz w:val="24"/>
        </w:rPr>
      </w:r>
    </w:p>
    <w:p>
      <w:pPr>
        <w:pStyle w:val="BodyText"/>
        <w:rPr>
          <w:b/>
          <w:sz w:val="28"/>
        </w:rPr>
      </w:pPr>
      <w:r>
        <w:rPr>
          <w:b/>
          <w:sz w:val="28"/>
        </w:rPr>
        <w:t>BACKGROUND</w:t>
      </w:r>
    </w:p>
    <w:p>
      <w:pPr>
        <w:pStyle w:val="BodyText"/>
        <w:rPr>
          <w:b/>
          <w:sz w:val="28"/>
        </w:rPr>
      </w:pPr>
      <w:r>
        <w:rPr>
          <w:b/>
          <w:sz w:val="28"/>
        </w:rPr>
      </w:r>
    </w:p>
    <w:p>
      <w:pPr>
        <w:pStyle w:val="BodyText"/>
        <w:rPr/>
      </w:pPr>
      <w:r>
        <w:rPr/>
        <w:t>The</w:t>
      </w:r>
      <w:r>
        <w:rPr>
          <w:b/>
        </w:rPr>
        <w:t xml:space="preserve"> </w:t>
      </w:r>
      <w:r>
        <w:rPr/>
        <w:t>World Bank (the Bank) and other International Financial Institutions (IFIs) are strong advocates of energy market reform in emerging markets.  The Bank, EBRD and other IFIs utilise direct government aid, loan conditionality and private lending initiatives to achieve their energy policy objectives.  Also, the Bank is charged with implementing the energy sector restructuring mandates imposed by the IMF in its lending arrangements with other IMF members. Consequently, these Institutions are able to influence Government policy in emerging markets and such influence can have positive and negative consequences for Enron’s commercial activities in emerging markets.  It should be noted that many countries, such as Hungary, have advanced to the point where World Bank, IFI and IMF influence has diminished significantly.</w:t>
      </w:r>
    </w:p>
    <w:p>
      <w:pPr>
        <w:pStyle w:val="Normal"/>
        <w:rPr>
          <w:sz w:val="24"/>
        </w:rPr>
      </w:pPr>
      <w:r>
        <w:rPr>
          <w:sz w:val="24"/>
        </w:rPr>
      </w:r>
    </w:p>
    <w:p>
      <w:pPr>
        <w:pStyle w:val="Normal"/>
        <w:rPr>
          <w:sz w:val="24"/>
        </w:rPr>
      </w:pPr>
      <w:r>
        <w:rPr>
          <w:sz w:val="24"/>
        </w:rPr>
        <w:t>The IFI’s energy policy objectives are to promote privatisation and liberalisation of the energy sector and to discourage Government owned monopolies (the Single Buyer model. The Single Buyer model requires long term PPAs between private developers and the Government utilities in order to back investment in infrastructure.</w:t>
      </w:r>
    </w:p>
    <w:p>
      <w:pPr>
        <w:pStyle w:val="Normal"/>
        <w:rPr>
          <w:sz w:val="24"/>
        </w:rPr>
      </w:pPr>
      <w:r>
        <w:rPr>
          <w:sz w:val="24"/>
        </w:rPr>
      </w:r>
    </w:p>
    <w:p>
      <w:pPr>
        <w:pStyle w:val="Normal"/>
        <w:rPr/>
      </w:pPr>
      <w:r>
        <w:rPr>
          <w:sz w:val="24"/>
        </w:rPr>
        <w:t xml:space="preserve">Given the ability of IFIs to influence energy policy in emerging markets, it is increasingly important for Enron to establish and maintain a dialogue with these Institutions in order to influence policy in a way that expands Enron commercial opportunities.  </w:t>
      </w:r>
      <w:r>
        <w:rPr>
          <w:color w:val="000000"/>
          <w:sz w:val="24"/>
        </w:rPr>
        <w:t xml:space="preserve">Enron’s recent change in strategy underscores two areas where an enhanced dialogue with the Bank and the IFIs is critical.  First, the de-emphasis on asset development means we need to push for liberalized energy markets by other means.  Secondly, with a substantial number of assets in the emerging markets Enron needs to educate the Bank and IFIs to the need to integrate those assets into their liberalization strategies and not to isolate and undermine them. </w:t>
      </w:r>
    </w:p>
    <w:p>
      <w:pPr>
        <w:pStyle w:val="BodyText"/>
        <w:rPr>
          <w:color w:val="000000"/>
          <w:sz w:val="24"/>
        </w:rPr>
      </w:pPr>
      <w:r>
        <w:rPr>
          <w:color w:val="000000"/>
          <w:sz w:val="24"/>
        </w:rPr>
      </w:r>
    </w:p>
    <w:p>
      <w:pPr>
        <w:pStyle w:val="BodyText"/>
        <w:rPr/>
      </w:pPr>
      <w:r>
        <w:rPr/>
        <w:t xml:space="preserve">Moreover, the Bank’s recent criticism of Enron’s projects in Nigeria and Turkey demonstrate the problems that can arise if the Bank perceives that certain projects are not consistent with its overall policy objectives in the region.  Accordingly, Enron should develop and implement a strategy that enhances our relationship with the relevant institutions such that we can leverage our relationship to promote liberalisation and to continue to obtain IFI financial backing for our projects in emerging markets. </w:t>
      </w:r>
    </w:p>
    <w:p>
      <w:pPr>
        <w:pStyle w:val="Normal"/>
        <w:rPr>
          <w:sz w:val="24"/>
        </w:rPr>
      </w:pPr>
      <w:r>
        <w:rPr>
          <w:sz w:val="24"/>
        </w:rPr>
      </w:r>
    </w:p>
    <w:p>
      <w:pPr>
        <w:pStyle w:val="Heading2"/>
        <w:ind w:hanging="0" w:start="0"/>
        <w:rPr/>
      </w:pPr>
      <w:r>
        <w:rPr/>
        <w:t>OBJECTIVES</w:t>
      </w:r>
    </w:p>
    <w:p>
      <w:pPr>
        <w:pStyle w:val="Normal"/>
        <w:rPr/>
      </w:pPr>
      <w:r>
        <w:rPr/>
      </w:r>
    </w:p>
    <w:p>
      <w:pPr>
        <w:pStyle w:val="Heading3"/>
        <w:ind w:hanging="0" w:start="0"/>
        <w:rPr/>
      </w:pPr>
      <w:r>
        <w:rPr/>
        <w:t>Primary Objective</w:t>
      </w:r>
      <w:r>
        <w:rPr>
          <w:u w:val="none"/>
        </w:rPr>
        <w:t>: Establish proactive dialogue with World Bank and other IFIs in order to promote energy sector liberalisation in emerging markets in such a way as to provide Enron with immediate commercial opportunities</w:t>
      </w:r>
      <w:r>
        <w:rPr>
          <w:color w:val="FF0000"/>
          <w:u w:val="none"/>
        </w:rPr>
        <w:t xml:space="preserve"> </w:t>
      </w:r>
      <w:r>
        <w:rPr>
          <w:color w:val="000000"/>
          <w:u w:val="none"/>
        </w:rPr>
        <w:t>and protect revenue streams from existing Enron assets in the emerging markets.</w:t>
      </w:r>
    </w:p>
    <w:p>
      <w:pPr>
        <w:pStyle w:val="Normal"/>
        <w:rPr>
          <w:color w:val="000000"/>
          <w:sz w:val="24"/>
          <w:u w:val="single"/>
        </w:rPr>
      </w:pPr>
      <w:r>
        <w:rPr>
          <w:color w:val="000000"/>
          <w:sz w:val="24"/>
          <w:u w:val="single"/>
        </w:rPr>
      </w:r>
    </w:p>
    <w:p>
      <w:pPr>
        <w:pStyle w:val="BodyText"/>
        <w:rPr/>
      </w:pPr>
      <w:r>
        <w:rPr/>
        <w:t>Enron is now decreasing (but not eliminating) its asset development role in international markets and is instead, pursuing growth opportunities in its communications and energy merchant businesses.  For these businesses to grow, it is imperative that emerging market energy policy evolves from one characterised by Government ownership and control to one featuring, among other things, private ownership, limited Government interference in investment decisions, removal of barriers to market entry including advocacy of non-discriminatory access to transmission grids and free intra and interstate trade.</w:t>
      </w:r>
    </w:p>
    <w:p>
      <w:pPr>
        <w:pStyle w:val="Normal"/>
        <w:rPr>
          <w:sz w:val="24"/>
        </w:rPr>
      </w:pPr>
      <w:r>
        <w:rPr>
          <w:sz w:val="24"/>
        </w:rPr>
      </w:r>
    </w:p>
    <w:p>
      <w:pPr>
        <w:pStyle w:val="BodyText"/>
        <w:rPr>
          <w:color w:val="FF0000"/>
        </w:rPr>
      </w:pPr>
      <w:r>
        <w:rPr/>
        <w:t xml:space="preserve">While advocating energy market deregulation, Enron must be cognisant that it holds a portfolio of legacy projects developed in markets featuring absolute Government control.  In addition, Enron will continue to develop projects in markets that are not highly developed or that feature liberal energy policy conducive to our core merchant businesses.  </w:t>
      </w:r>
    </w:p>
    <w:p>
      <w:pPr>
        <w:pStyle w:val="Normal"/>
        <w:rPr>
          <w:color w:val="FF0000"/>
          <w:sz w:val="24"/>
        </w:rPr>
      </w:pPr>
      <w:r>
        <w:rPr>
          <w:color w:val="FF0000"/>
          <w:sz w:val="24"/>
        </w:rPr>
      </w:r>
    </w:p>
    <w:p>
      <w:pPr>
        <w:pStyle w:val="Heading2"/>
        <w:ind w:hanging="0" w:start="0"/>
        <w:rPr/>
      </w:pPr>
      <w:r>
        <w:rPr/>
        <w:t>IMPLEMENTATION STRATEGY</w:t>
      </w:r>
    </w:p>
    <w:p>
      <w:pPr>
        <w:pStyle w:val="Normal"/>
        <w:rPr/>
      </w:pPr>
      <w:r>
        <w:rPr/>
      </w:r>
    </w:p>
    <w:p>
      <w:pPr>
        <w:pStyle w:val="BodyText"/>
        <w:rPr>
          <w:u w:val="single"/>
        </w:rPr>
      </w:pPr>
      <w:r>
        <w:rPr>
          <w:u w:val="single"/>
        </w:rPr>
        <w:t>Develop and Communicate Consistent Enron Policy</w:t>
      </w:r>
      <w:r>
        <w:rPr/>
        <w:t xml:space="preserve">.   The key to maintaining consistency is to distinguish our approach based on the facts presented by each country or region </w:t>
      </w:r>
      <w:r>
        <w:rPr>
          <w:color w:val="000000"/>
        </w:rPr>
        <w:t>and the degree of liberalization of the energy sector of the particular country.  It should</w:t>
      </w:r>
      <w:r>
        <w:rPr/>
        <w:t xml:space="preserve"> be possible to distinguish between countries that are in transition or are capable of transitioning to open energy markets (most Eastern European markets) and those that are woefully inadequate (Nigeria).  A basis for the distinction should be whether region is sufficiently advanced that it can reasonably take advantage of a more advanced market structure. Characteristics of such a region would be the size of the market, access to interconnected grids and diverse energy supplies as well as the sophistication level of potential counter parties.  Other factors to be considered are the structure of the financial sector, the quality of legal and political institutions and the stability of the local currency</w:t>
      </w:r>
    </w:p>
    <w:p>
      <w:pPr>
        <w:pStyle w:val="BodyText"/>
        <w:rPr>
          <w:u w:val="single"/>
        </w:rPr>
      </w:pPr>
      <w:r>
        <w:rPr>
          <w:u w:val="single"/>
        </w:rPr>
      </w:r>
    </w:p>
    <w:p>
      <w:pPr>
        <w:pStyle w:val="BodyText"/>
        <w:rPr>
          <w:color w:val="FF0000"/>
        </w:rPr>
      </w:pPr>
      <w:r>
        <w:rPr>
          <w:u w:val="single"/>
        </w:rPr>
        <w:t>Co-ordinated Dialogue between IFI and Enron Regional Offices</w:t>
      </w:r>
      <w:r>
        <w:rPr/>
        <w:t xml:space="preserve">.  Both Enron and the Bank have extensive global management structures that make it difficult to co-ordinate messages.  Moreover, Country Managers (for Enron and the Bank) often have different policy and commercial objectives.  Given that such conflicts and communication problems are unavoidable, Enron must make a concerted effort to stay on top of the issues by maintaining an effective dialogue between the various players in the regional and Washington offices.  </w:t>
      </w:r>
      <w:r>
        <w:rPr>
          <w:color w:val="000000"/>
        </w:rPr>
        <w:t>Enron needs to make a concerted effort to consolidate the lessons learned from the European and US experiences so as to push a consistent message before the Bank and IFIs. To the extent we can get the Bank proselityzing with our message the better off we all are.</w:t>
      </w:r>
    </w:p>
    <w:p>
      <w:pPr>
        <w:pStyle w:val="BodyText"/>
        <w:rPr>
          <w:color w:val="FF0000"/>
        </w:rPr>
      </w:pPr>
      <w:r>
        <w:rPr>
          <w:color w:val="FF0000"/>
        </w:rPr>
      </w:r>
    </w:p>
    <w:p>
      <w:pPr>
        <w:pStyle w:val="BodyText"/>
        <w:rPr/>
      </w:pPr>
      <w:r>
        <w:rPr>
          <w:u w:val="single"/>
        </w:rPr>
        <w:t>Respond Forcefully When Necessary</w:t>
      </w:r>
      <w:r>
        <w:rPr/>
        <w:t>.  In some instances (Nigeria and Turkey) it will be necessary to forcefully rebut actions or statements made by the Bank and other IFIs.  In the case of Turkey, the Bank’s suggestion (taken out of context) that TEAS voluntarily re-negotiate existing contracts is dangerous and counterproductive.  Such a suggestion is also inappropriate since the Bank should not abuse its privileged position to improve its weak loan portfolio by encouraging its borrower (TEAS) to frustrate private contracts.  By establishing a proactive dialogue throughout the Bank, we should be in a position to avoid public disclosure of disagreements between the Bank and Enron.</w:t>
      </w:r>
    </w:p>
    <w:p>
      <w:pPr>
        <w:pStyle w:val="BodyText"/>
        <w:rPr/>
      </w:pPr>
      <w:r>
        <w:rPr/>
      </w:r>
    </w:p>
    <w:sectPr>
      <w:type w:val="nextPage"/>
      <w:pgSz w:w="11906" w:h="16838"/>
      <w:pgMar w:left="1728" w:right="172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outlineLvl w:val="2"/>
    </w:pPr>
    <w:rPr>
      <w:sz w:val="24"/>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2000-03-24T11:20:00Z</dcterms:created>
  <dc:creator>tbriggs</dc:creator>
  <dc:description/>
  <dc:language>en-CA</dc:language>
  <cp:lastModifiedBy>ENRON</cp:lastModifiedBy>
  <cp:lastPrinted>2000-03-24T07:39:00Z</cp:lastPrinted>
  <dcterms:modified xsi:type="dcterms:W3CDTF">2000-03-24T11:30:00Z</dcterms:modified>
  <cp:revision>3</cp:revision>
  <dc:subject/>
  <dc:title>WORLD BANK AND IFI LOBBYING STRATEGY</dc:title>
</cp:coreProperties>
</file>