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9360" w:leader="none"/>
        </w:tabs>
        <w:rPr/>
      </w:pPr>
      <w:r>
        <w:rPr/>
        <w:t>WORKLOAD</w:t>
        <w:tab/>
        <w:t>DATE:  05/01/01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6"/>
        <w:gridCol w:w="4575"/>
        <w:gridCol w:w="2696"/>
        <w:gridCol w:w="1789"/>
      </w:tblGrid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 xml:space="preserve">PROJECT       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COMMERCIAL/LEGAL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STATUS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Futures Agreements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(a)  Goldman Sachs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Hickerson/SS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Received docs 5/1/01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384" w:leader="none"/>
              </w:tabs>
              <w:ind w:hanging="726" w:start="750" w:end="0"/>
              <w:rPr/>
            </w:pPr>
            <w:r>
              <w:rPr/>
              <w:t>Salomon Smith Barney/Citigroup</w:t>
            </w:r>
          </w:p>
          <w:p>
            <w:pPr>
              <w:pStyle w:val="Normal"/>
              <w:ind w:start="360" w:end="0"/>
              <w:rPr/>
            </w:pPr>
            <w:r>
              <w:rPr/>
              <w:t>(former Pru employees)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Hickerson/SS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Received docs 4/26/01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(c)  Morgan Stanley &amp; Co.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Hickerson/SS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Received docs 4/26/01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Repo Agreements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(a)  Goldman Sachs/Enron Credit Inc.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Kinneman/SS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(b)  GSI/Enron Credit Ltd.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Custody Agreement/ENE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Hickerson/Su/SS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Banks:  Multibranch Masters: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Adams/SS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Chase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CIBC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UBS AG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3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</w:t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Agreements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(a)  with Cheryl Nelson: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84" w:leader="none"/>
              </w:tabs>
              <w:ind w:firstLine="384" w:end="0"/>
              <w:rPr/>
            </w:pPr>
            <w:r>
              <w:rPr/>
              <w:t>Cross Timbers Oil Company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84" w:leader="none"/>
              </w:tabs>
              <w:ind w:firstLine="384" w:end="0"/>
              <w:rPr/>
            </w:pPr>
            <w:r>
              <w:rPr/>
              <w:t>Camden Property Trust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84" w:leader="none"/>
              </w:tabs>
              <w:ind w:firstLine="384" w:end="0"/>
              <w:rPr/>
            </w:pPr>
            <w:r>
              <w:rPr/>
              <w:t>Clorox Comopany (The)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84" w:leader="none"/>
              </w:tabs>
              <w:ind w:firstLine="384" w:end="0"/>
              <w:rPr/>
            </w:pPr>
            <w:r>
              <w:rPr/>
              <w:t>Montana Power Company (The)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84" w:leader="none"/>
              </w:tabs>
              <w:ind w:firstLine="384" w:end="0"/>
              <w:rPr/>
            </w:pPr>
            <w:r>
              <w:rPr/>
              <w:t>Ocean Energy, Inc.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84" w:leader="none"/>
              </w:tabs>
              <w:ind w:firstLine="384" w:end="0"/>
              <w:rPr/>
            </w:pPr>
            <w:r>
              <w:rPr/>
              <w:t>Quebecor World USA, Inc.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Russel Metals Inc.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(b)  Others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Allegheny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Cargill-Allliant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CD Holdings (hedge fund)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ConEd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Louis Dreyfus Plastics (Frank)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Morgan Stanley Capital Services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London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Comparison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Salt River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Valentis (hedge fund)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WAPA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Weyerhauser Co.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6.</w:t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Update swaps/forwards/options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Freeland/Nogid/SS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CSFB/ENE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7.</w:t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Financial Power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(a)  Update power confirmations for desk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Murphy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(b)  meet with desk to discuss forms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Theriot et al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8.</w:t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Credit – monitor and talk with Jeff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Kinneman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9.</w:t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Brokerage Agreements – monitor and discuss electronic platforms with Cheryl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Glover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</w:t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Hedge Funds - monitor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Lagrasta/Abramo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FILENAME \p </w:instrText>
      </w:r>
      <w:r>
        <w:rPr>
          <w:sz w:val="20"/>
        </w:rPr>
        <w:fldChar w:fldCharType="separate"/>
      </w:r>
      <w:r>
        <w:rPr>
          <w:sz w:val="20"/>
        </w:rPr>
        <w:t>/mnt/main-storage/datasets/enron-docs/doc/WORKLOADDATE.doc</w:t>
      </w:r>
      <w:r>
        <w:rPr>
          <w:sz w:val="20"/>
        </w:rPr>
        <w:fldChar w:fldCharType="end"/>
      </w:r>
    </w:p>
    <w:sectPr>
      <w:type w:val="nextPage"/>
      <w:pgSz w:w="12240" w:h="15840"/>
      <w:pgMar w:left="1440" w:right="1440" w:gutter="0" w:header="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lowerLetter"/>
      <w:lvlText w:val="(%1)"/>
      <w:lvlJc w:val="start"/>
      <w:pPr>
        <w:tabs>
          <w:tab w:val="num" w:pos="720"/>
        </w:tabs>
        <w:ind w:start="750" w:hanging="39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2001-04-26T11:20:00Z</dcterms:created>
  <dc:creator>sshackl</dc:creator>
  <dc:description/>
  <dc:language>en-CA</dc:language>
  <cp:lastModifiedBy>kellis</cp:lastModifiedBy>
  <cp:lastPrinted>2001-05-01T13:55:00Z</cp:lastPrinted>
  <dcterms:modified xsi:type="dcterms:W3CDTF">2001-05-01T16:27:00Z</dcterms:modified>
  <cp:revision>14</cp:revision>
  <dc:subject/>
  <dc:title>WORKLOAD</dc:title>
</cp:coreProperties>
</file>