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b/>
          <w:sz w:val="28"/>
        </w:rPr>
        <w:t>UNITED STATES OF AMERICA</w:t>
      </w:r>
    </w:p>
    <w:p>
      <w:pPr>
        <w:pStyle w:val="Normal"/>
        <w:widowControl/>
        <w:tabs>
          <w:tab w:val="clear" w:pos="720"/>
          <w:tab w:val="center" w:pos="4680" w:leader="none"/>
        </w:tabs>
        <w:jc w:val="both"/>
        <w:rPr>
          <w:rFonts w:ascii="Times New Roman" w:hAnsi="Times New Roman" w:cs="Times New Roman"/>
          <w:b/>
          <w:sz w:val="28"/>
        </w:rPr>
      </w:pPr>
      <w:r>
        <w:rPr>
          <w:rFonts w:cs="Times New Roman" w:ascii="Times New Roman" w:hAnsi="Times New Roman"/>
          <w:b/>
          <w:sz w:val="28"/>
        </w:rPr>
        <w:tab/>
        <w:t>BEFORE THE</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b/>
          <w:sz w:val="28"/>
        </w:rPr>
        <w:tab/>
        <w:t>FEDERAL ENERGY REGULATORY COMMISSION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____________________________________</w:t>
      </w:r>
    </w:p>
    <w:p>
      <w:pPr>
        <w:pStyle w:val="Normal"/>
        <w:widowControl/>
        <w:ind w:firstLine="4320"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San Diego Gas &amp; Electric Company</w:t>
        <w:tab/>
        <w:tab/>
        <w:t>)</w:t>
      </w:r>
    </w:p>
    <w:p>
      <w:pPr>
        <w:pStyle w:val="Normal"/>
        <w:widowControl/>
        <w:ind w:firstLine="4320"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s>
        <w:ind w:hanging="2160" w:start="4320" w:end="0"/>
        <w:jc w:val="both"/>
        <w:rPr>
          <w:rFonts w:ascii="Times New Roman" w:hAnsi="Times New Roman" w:cs="Times New Roman"/>
        </w:rPr>
      </w:pPr>
      <w:r>
        <w:rPr>
          <w:rFonts w:cs="Times New Roman" w:ascii="Times New Roman" w:hAnsi="Times New Roman"/>
        </w:rPr>
        <w:t>Complainant,</w:t>
        <w:tab/>
        <w:tab/>
        <w:t>)</w:t>
      </w:r>
    </w:p>
    <w:p>
      <w:pPr>
        <w:pStyle w:val="Normal"/>
        <w:widowControl/>
        <w:ind w:firstLine="4320"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s>
        <w:ind w:hanging="4320" w:start="576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w:t>
        <w:tab/>
        <w:tab/>
        <w:tab/>
        <w:tab/>
        <w:t>)</w:t>
        <w:tab/>
        <w:tab/>
        <w:t>Docket No. EL00-95- 000</w:t>
      </w:r>
    </w:p>
    <w:p>
      <w:pPr>
        <w:pStyle w:val="Normal"/>
        <w:widowControl/>
        <w:ind w:firstLine="4320"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Sellers of Energy and Ancillary Services</w:t>
        <w:tab/>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into Markets Operated by the California</w:t>
        <w:tab/>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Independent System Operator and the</w:t>
        <w:tab/>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California Power Exchange</w:t>
        <w:tab/>
        <w:tab/>
        <w:tab/>
        <w:t>)</w:t>
      </w:r>
    </w:p>
    <w:p>
      <w:pPr>
        <w:pStyle w:val="Normal"/>
        <w:widowControl/>
        <w:ind w:firstLine="4320"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s>
        <w:ind w:hanging="2160" w:start="4320" w:end="0"/>
        <w:jc w:val="both"/>
        <w:rPr>
          <w:rFonts w:ascii="Times New Roman" w:hAnsi="Times New Roman" w:cs="Times New Roman"/>
        </w:rPr>
      </w:pPr>
      <w:r>
        <w:rPr>
          <w:rFonts w:cs="Times New Roman" w:ascii="Times New Roman" w:hAnsi="Times New Roman"/>
        </w:rPr>
        <w:t>Respondents.</w:t>
        <w:tab/>
        <w:tab/>
        <w:t>)</w:t>
      </w:r>
    </w:p>
    <w:p>
      <w:pPr>
        <w:pStyle w:val="Normal"/>
        <w:widowControl/>
        <w:ind w:firstLine="4320"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Investigation of Practices of the</w:t>
        <w:tab/>
        <w:tab/>
        <w:t>)</w:t>
      </w:r>
    </w:p>
    <w:p>
      <w:pPr>
        <w:pStyle w:val="Normal"/>
        <w:widowControl/>
        <w:tabs>
          <w:tab w:val="clear" w:pos="720"/>
          <w:tab w:val="left" w:pos="-1440" w:leader="none"/>
        </w:tabs>
        <w:ind w:hanging="5760" w:start="576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California Independent System Operator</w:t>
        <w:tab/>
        <w:t>)</w:t>
        <w:tab/>
        <w:tab/>
        <w:t>Docket No. EL00-98-000</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and the California Power Exchange</w:t>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760" w:start="5760" w:end="0"/>
        <w:jc w:val="both"/>
        <w:rPr>
          <w:rFonts w:ascii="Times New Roman" w:hAnsi="Times New Roman" w:cs="Times New Roman"/>
        </w:rPr>
      </w:pPr>
      <w:r>
        <w:rPr>
          <w:rFonts w:cs="Times New Roman" w:ascii="Times New Roman" w:hAnsi="Times New Roman"/>
        </w:rPr>
        <w:t>California Independent System Operator</w:t>
        <w:tab/>
        <w:t>)</w:t>
        <w:tab/>
        <w:tab/>
        <w:t>Docket No. ER01-607-000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Corporation</w:t>
        <w:tab/>
        <w:tab/>
        <w:tab/>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____________________________________)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r>
      <w:r>
        <w:rPr>
          <w:rFonts w:cs="Times New Roman" w:ascii="Times New Roman" w:hAnsi="Times New Roman"/>
          <w:b/>
          <w:sz w:val="26"/>
        </w:rPr>
        <w:t>ANSWER OF ENRON POWER MARKETING,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b/>
          <w:sz w:val="26"/>
        </w:rPr>
        <w:t>TO REQUEST FOR INVESTIGATION AND DISCOVERY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Pursuant to 18 C.F.R. </w:t>
      </w:r>
      <w:r>
        <w:rPr>
          <w:rFonts w:cs="WP TypographicSymbols" w:ascii="WP TypographicSymbols" w:hAnsi="WP TypographicSymbols"/>
        </w:rPr>
        <w:t>'</w:t>
      </w:r>
      <w:r>
        <w:rPr>
          <w:rFonts w:cs="Times New Roman" w:ascii="Times New Roman" w:hAnsi="Times New Roman"/>
        </w:rPr>
        <w:t> 385.213(2000), Enron Power Marketing, Inc. ("EPMI"), an existing intervenor in this proceeding, answers in opposition to the motion filed on March 1, 2001 by the California Independent System Operator Corporation ("ISO") and the California Electricity Oversight Board ("EOB") (jointly, "Movants") in the above-captioned proceedings.</w:t>
      </w:r>
    </w:p>
    <w:p>
      <w:pPr>
        <w:sectPr>
          <w:type w:val="nextPage"/>
          <w:pgSz w:w="12240" w:h="15840"/>
          <w:pgMar w:left="1440" w:right="1440" w:gutter="0" w:header="0" w:top="1440" w:footer="0" w:bottom="864"/>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Movants request that the Commission (1) issue a Notice to market participants that wholesale sales pursuant to bids above the $150 per MWh breakpoint will continue to be subject to review beyond the 60-day period set forth in the Commission's December 15, 2000 order in this proceeding, </w:t>
      </w:r>
      <w:r>
        <w:rPr>
          <w:rFonts w:cs="Times New Roman" w:ascii="Times New Roman" w:hAnsi="Times New Roman"/>
          <w:i/>
        </w:rPr>
        <w:t>San Diego Gas and Electric Company v. Sellers of Energy and Ancillary Services into Markets Operated by the California Independent System Operator and the California Power Exchange, et al.</w:t>
      </w:r>
      <w:r>
        <w:rPr>
          <w:rFonts w:cs="Times New Roman" w:ascii="Times New Roman" w:hAnsi="Times New Roman"/>
        </w:rPr>
        <w:t xml:space="preserve">, 93 FERC </w:t>
      </w:r>
      <w:r>
        <w:rPr>
          <w:rFonts w:cs="WP TypographicSymbols" w:ascii="WP TypographicSymbols" w:hAnsi="WP TypographicSymbols"/>
        </w:rPr>
        <w:t>&amp;</w:t>
      </w:r>
      <w:r>
        <w:rPr>
          <w:rFonts w:cs="Times New Roman" w:ascii="Times New Roman" w:hAnsi="Times New Roman"/>
        </w:rPr>
        <w:t> 61,294 (2000) ("December 15 Order"), (2) institute a hearing to consider the justness and reasonableness of sales in markets operated by the ISO and the California Power Exchange Corporation ("PX") since December 8, 2000, and (3) require sellers to provide the ISO and certain "California state agencies" with the same cost data that they are currently providing to the Commission on a weekly basis.  This motion should be denied as both moot and contrary to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t>Movants' Request that the Commission Should Extend the Sixty-Day Notification Period Should be Rejected as Moot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In the December 15 Order, the Commission required sellers to submit weekly reports on the cost of their supplies sold into the markets operated by the ISO and the PX that exceed $150 per MWh.  93 FERC at 62,011.  The Commission further provided that, unless it issued "some form of notification to a seller that its transaction is still under review, refund potential on a particular transaction will close 60 days after the initial report is filed with the Commission."  </w:t>
      </w:r>
      <w:r>
        <w:rPr>
          <w:rFonts w:cs="Times New Roman" w:ascii="Times New Roman" w:hAnsi="Times New Roman"/>
          <w:i/>
        </w:rPr>
        <w:t>Id.</w:t>
      </w:r>
      <w:r>
        <w:rPr>
          <w:rFonts w:cs="Times New Roman" w:ascii="Times New Roman" w:hAnsi="Times New Roman"/>
        </w:rPr>
        <w:t xml:space="preserve">  Movants note that the first 60-day period was set to expire on March 11, 2001, and request the Commission to issue a further notice to extend the review period in order to "preserve[] the potential for a subsequent finding that refunds are warranted."  </w:t>
      </w:r>
      <w:r>
        <w:rPr>
          <w:rFonts w:cs="Times New Roman" w:ascii="Times New Roman" w:hAnsi="Times New Roman"/>
          <w:i/>
        </w:rPr>
        <w:t>Motion</w:t>
      </w:r>
      <w:r>
        <w:rPr>
          <w:rFonts w:cs="Times New Roman" w:ascii="Times New Roman" w:hAnsi="Times New Roman"/>
        </w:rPr>
        <w:t xml:space="preserve"> at 10.</w:t>
      </w:r>
    </w:p>
    <w:p>
      <w:pPr>
        <w:sectPr>
          <w:type w:val="continuous"/>
          <w:pgSz w:w="12240" w:h="15840"/>
          <w:pgMar w:left="1440" w:right="1440" w:gutter="0" w:header="0" w:top="1440" w:footer="0" w:bottom="864"/>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This request was rendered moot by the Commission's March 9, 2001 order in Docket Nos. EL00-95-017, EL00-98-016, and thirteen additional dockets (EL01-1444-000 through EL01-1456-000) addressed to specific market participants.  </w:t>
      </w:r>
      <w:r>
        <w:rPr>
          <w:rFonts w:cs="Times New Roman" w:ascii="Times New Roman" w:hAnsi="Times New Roman"/>
          <w:i/>
        </w:rPr>
        <w:t>San Diego Gas and Electric Company v. Sellers of Energy and Ancillary Services into Markets Operated by the California Independent System Operator and the California Power Exchange, et al.</w:t>
      </w:r>
      <w:r>
        <w:rPr>
          <w:rFonts w:cs="Times New Roman" w:ascii="Times New Roman" w:hAnsi="Times New Roman"/>
        </w:rPr>
        <w:t xml:space="preserve">, 94 FERC </w:t>
      </w:r>
      <w:r>
        <w:rPr>
          <w:rFonts w:cs="WP TypographicSymbols" w:ascii="WP TypographicSymbols" w:hAnsi="WP TypographicSymbols"/>
        </w:rPr>
        <w:t>&amp;</w:t>
      </w:r>
      <w:r>
        <w:rPr>
          <w:rFonts w:cs="Times New Roman" w:ascii="Times New Roman" w:hAnsi="Times New Roman"/>
        </w:rPr>
        <w:t> 61,245 (2000) ("March 9 Order").  In that order, the Commission established a $273 per MWh "rate screen," entered certain findings as to the justness and reasonableness of sales into ISO and PX markets during January 2001 both above and below that screen, and established remedies and other procedures, including the potential for approximately $69 million in refunds.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rPr>
      </w:pPr>
      <w:r>
        <w:rPr>
          <w:rFonts w:cs="Times New Roman" w:ascii="Times New Roman" w:hAnsi="Times New Roman"/>
        </w:rPr>
        <w:t>The March 9 Order thus addresses the very matter about which Movants are concerned, namely, that the 60-day period for the week beginning January 10, 2001 might pass without the Commission addressing the market issues for that period.  Movants' request to extend the 60-day period should therefore be denied as moot.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rFonts w:ascii="Times New Roman" w:hAnsi="Times New Roman" w:cs="Times New Roman"/>
        </w:rPr>
      </w:pPr>
      <w:r>
        <w:rPr/>
        <w:t>Movants' Request that the Commission Set for Hearing Issues Related to the Exercise of Market Power for all Periods Subsequent to December 8, 2000 is Likewise Moot, Redundant of an Existing Commission Investigation, and Based on a Flawed Analysis by the ISO's Department of Market Analysis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Movants next request that the Commission set for hearing the justness and reasonableness of sales into the markets operated by the PX and ISO since December 8, 2000.  </w:t>
      </w:r>
      <w:r>
        <w:rPr>
          <w:rFonts w:cs="Times New Roman" w:ascii="Times New Roman" w:hAnsi="Times New Roman"/>
          <w:i/>
        </w:rPr>
        <w:t>Motion</w:t>
      </w:r>
      <w:r>
        <w:rPr>
          <w:rFonts w:cs="Times New Roman" w:ascii="Times New Roman" w:hAnsi="Times New Roman"/>
        </w:rPr>
        <w:t xml:space="preserve"> at 12-13.  This request is redundant of the investigation that the Commission already established in the December 15 Order to consider California market issues, 93 FERC at 62,017, as well as the October 2, 2000 refund effective date already established in this proceeding.  </w:t>
      </w:r>
      <w:r>
        <w:rPr>
          <w:rFonts w:cs="Times New Roman" w:ascii="Times New Roman" w:hAnsi="Times New Roman"/>
          <w:i/>
        </w:rPr>
        <w:t>Id.</w:t>
      </w:r>
      <w:r>
        <w:rPr>
          <w:rFonts w:cs="Times New Roman" w:ascii="Times New Roman" w:hAnsi="Times New Roman"/>
        </w:rPr>
        <w:t xml:space="preserve"> at 61,984-85.  More fundamentally, the Commission, in the March 9 Order, rendered findings in connection with these very issues with regard to transactions during the month of January 2001, and announced that its rate screen method would be applicable in subsequent months.  Thus, the very investigation that Movants request be convened has already been performed by the Commission, thereby mooting Movants' request for such an investigation.</w:t>
      </w:r>
    </w:p>
    <w:p>
      <w:pPr>
        <w:sectPr>
          <w:type w:val="continuous"/>
          <w:pgSz w:w="12240" w:h="15840"/>
          <w:pgMar w:left="1440" w:right="1440" w:gutter="0" w:header="0" w:top="1440" w:footer="0" w:bottom="864"/>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 xml:space="preserve">The Commission stated, however, with regard to the period prior to January 1, 2001, that it would issue a later order that would address those issues.  </w:t>
      </w:r>
      <w:r>
        <w:rPr>
          <w:rFonts w:cs="Times New Roman" w:ascii="Times New Roman" w:hAnsi="Times New Roman"/>
          <w:i/>
        </w:rPr>
        <w:t>March 9 Order, slip op.</w:t>
      </w:r>
      <w:r>
        <w:rPr>
          <w:rFonts w:cs="Times New Roman" w:ascii="Times New Roman" w:hAnsi="Times New Roman"/>
        </w:rPr>
        <w:t xml:space="preserve"> at 7 &amp; n.14.  Thus, the analysis of the ISO's Department of Market Analysis ("DMA"),</w:t>
      </w:r>
      <w:r>
        <w:rPr>
          <w:rStyle w:val="FootnoteCharacters"/>
          <w:rStyle w:val="FootnoteReference"/>
          <w:rFonts w:cs="Times New Roman" w:ascii="Times New Roman" w:hAnsi="Times New Roman"/>
          <w:vertAlign w:val="superscript"/>
        </w:rPr>
        <w:footnoteReference w:id="2"/>
      </w:r>
      <w:r>
        <w:rPr>
          <w:rFonts w:cs="Times New Roman" w:ascii="Times New Roman" w:hAnsi="Times New Roman"/>
        </w:rPr>
        <w:t xml:space="preserve"> appended to the ISO's and EOB's March 1, 2001 motion, remains arguably relevant in part.  As we shall discuss, however, DMA's conclusion </w:t>
      </w:r>
      <w:r>
        <w:rPr>
          <w:rFonts w:cs="WP TypographicSymbols" w:ascii="WP TypographicSymbols" w:hAnsi="WP TypographicSymbols"/>
        </w:rPr>
        <w:t>C</w:t>
      </w:r>
      <w:r>
        <w:rPr>
          <w:rFonts w:cs="Times New Roman" w:ascii="Times New Roman" w:hAnsi="Times New Roman"/>
        </w:rPr>
        <w:t xml:space="preserve"> that prices in California's markets exceeded "reasonable" levels by $550 million during the subject period </w:t>
      </w:r>
      <w:r>
        <w:rPr>
          <w:rFonts w:cs="WP TypographicSymbols" w:ascii="WP TypographicSymbols" w:hAnsi="WP TypographicSymbols"/>
        </w:rPr>
        <w:t>C</w:t>
      </w:r>
      <w:r>
        <w:rPr>
          <w:rFonts w:cs="Times New Roman" w:ascii="Times New Roman" w:hAnsi="Times New Roman"/>
        </w:rPr>
        <w:t xml:space="preserve"> is based upon a fundamentally flawed conceptual framework and should be disregarded.</w:t>
      </w:r>
      <w:r>
        <w:rPr>
          <w:rStyle w:val="FootnoteCharacters"/>
          <w:rStyle w:val="FootnoteReference"/>
          <w:rFonts w:cs="Times New Roman" w:ascii="Times New Roman" w:hAnsi="Times New Roman"/>
          <w:vertAlign w:val="superscript"/>
        </w:rPr>
        <w:footnoteReference w:id="3"/>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DMA concludes that transaction prices that occurred in excess of Commission-approved breakpoint levels that are also above the DMA's cost standard are unjust and unreasonable.  This is overly simplistic and, as the Commission has already found, "grossly overestimates the amount of refunds due."  </w:t>
      </w:r>
      <w:r>
        <w:rPr>
          <w:rFonts w:cs="Times New Roman" w:ascii="Times New Roman" w:hAnsi="Times New Roman"/>
          <w:i/>
        </w:rPr>
        <w:t>March 9 Order, slip op.</w:t>
      </w:r>
      <w:r>
        <w:rPr>
          <w:rFonts w:cs="Times New Roman" w:ascii="Times New Roman" w:hAnsi="Times New Roman"/>
        </w:rPr>
        <w:t xml:space="preserve"> at 7.  High prices </w:t>
      </w:r>
      <w:r>
        <w:rPr>
          <w:rFonts w:cs="WP TypographicSymbols" w:ascii="WP TypographicSymbols" w:hAnsi="WP TypographicSymbols"/>
        </w:rPr>
        <w:t>C</w:t>
      </w:r>
      <w:r>
        <w:rPr>
          <w:rFonts w:cs="Times New Roman" w:ascii="Times New Roman" w:hAnsi="Times New Roman"/>
        </w:rPr>
        <w:t xml:space="preserve"> even those above variable operating costs </w:t>
      </w:r>
      <w:r>
        <w:rPr>
          <w:rFonts w:cs="WP TypographicSymbols" w:ascii="WP TypographicSymbols" w:hAnsi="WP TypographicSymbols"/>
        </w:rPr>
        <w:t>C</w:t>
      </w:r>
      <w:r>
        <w:rPr>
          <w:rFonts w:cs="Times New Roman" w:ascii="Times New Roman" w:hAnsi="Times New Roman"/>
        </w:rPr>
        <w:t xml:space="preserve"> do not, in themselves, demonstrate anticompetitive behavior or market power abuse.  For instance, in the March 9 Order, the Commission deemed reasonable sales during January 2001 below a $273 per MWh price screen, even though sales near that level </w:t>
      </w:r>
      <w:r>
        <w:rPr>
          <w:rFonts w:cs="WP TypographicSymbols" w:ascii="WP TypographicSymbols" w:hAnsi="WP TypographicSymbols"/>
        </w:rPr>
        <w:t>C</w:t>
      </w:r>
      <w:r>
        <w:rPr>
          <w:rFonts w:cs="Times New Roman" w:ascii="Times New Roman" w:hAnsi="Times New Roman"/>
        </w:rPr>
        <w:t xml:space="preserve"> in the abstract  </w:t>
      </w:r>
      <w:r>
        <w:rPr>
          <w:rFonts w:cs="WP TypographicSymbols" w:ascii="WP TypographicSymbols" w:hAnsi="WP TypographicSymbols"/>
        </w:rPr>
        <w:t>C</w:t>
      </w:r>
      <w:r>
        <w:rPr>
          <w:rFonts w:cs="Times New Roman" w:ascii="Times New Roman" w:hAnsi="Times New Roman"/>
        </w:rPr>
        <w:t xml:space="preserve"> could be considered "high."  In reaching its simplistic conclusions, DMA has also ignored critical information related to current market prices that must be part of any screening analysis.</w:t>
      </w:r>
      <w:r>
        <w:rPr>
          <w:rStyle w:val="FootnoteCharacters"/>
          <w:rStyle w:val="FootnoteReference"/>
          <w:rFonts w:cs="Times New Roman" w:ascii="Times New Roman" w:hAnsi="Times New Roman"/>
          <w:vertAlign w:val="superscript"/>
        </w:rPr>
        <w:footnoteReference w:id="4"/>
      </w:r>
      <w:r>
        <w:rPr>
          <w:rFonts w:cs="Times New Roman" w:ascii="Times New Roman" w:hAnsi="Times New Roman"/>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b/>
          <w:i/>
          <w:sz w:val="26"/>
        </w:rPr>
        <w:t>1.</w:t>
        <w:tab/>
        <w:t>T</w:t>
      </w:r>
      <w:r>
        <w:fldChar w:fldCharType="begin"/>
      </w:r>
      <w:r>
        <w:rPr/>
        <w:instrText xml:space="preserve"> TC "1.</w:instrText>
        <w:tab/>
        <w:instrText xml:space="preserve">T" \l 3 </w:instrText>
      </w:r>
      <w:r>
        <w:rPr/>
        <w:fldChar w:fldCharType="separate"/>
      </w:r>
      <w:r>
        <w:rPr/>
      </w:r>
      <w:r>
        <w:rPr/>
        <w:fldChar w:fldCharType="end"/>
      </w:r>
      <w:r>
        <w:rPr>
          <w:rFonts w:cs="Times New Roman" w:ascii="Times New Roman" w:hAnsi="Times New Roman"/>
          <w:b/>
          <w:i/>
        </w:rPr>
        <w:t>he DMA Analysis Totally Disregards Key Market Data That Should Be a Part of Any Screening Analysis.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Movants completely disregard the impact that scarcity has on prices in its conclusion that the cost of electricity in California's markets during December 2000 were excessive. </w:t>
      </w:r>
      <w:r>
        <w:fldChar w:fldCharType="begin"/>
      </w:r>
      <w:r>
        <w:rPr/>
        <w:instrText xml:space="preserve"> TC "Movants completely disregard the impact that scarcity has on prices in its conclusion that the cost of electricity in California's markets during December 2000 were excessive. " \l 3 </w:instrText>
      </w:r>
      <w:r>
        <w:rPr/>
        <w:fldChar w:fldCharType="separate"/>
      </w:r>
      <w:r>
        <w:rPr/>
      </w:r>
      <w:r>
        <w:rPr/>
        <w:fldChar w:fldCharType="end"/>
      </w:r>
      <w:r>
        <w:rPr>
          <w:rFonts w:cs="Times New Roman" w:ascii="Times New Roman" w:hAnsi="Times New Roman"/>
        </w:rPr>
        <w:t xml:space="preserve"> Nor does DMA make any attempt to consider prices throughout the larger Western market, suggesting a view that California's electricity system is an isolated island.</w:t>
      </w:r>
      <w:r>
        <w:rPr>
          <w:rStyle w:val="FootnoteCharacters"/>
          <w:rStyle w:val="FootnoteReference"/>
          <w:rFonts w:cs="Times New Roman" w:ascii="Times New Roman" w:hAnsi="Times New Roman"/>
          <w:vertAlign w:val="superscript"/>
        </w:rPr>
        <w:footnoteReference w:id="5"/>
      </w:r>
      <w:r>
        <w:rPr>
          <w:rFonts w:cs="Times New Roman" w:ascii="Times New Roman" w:hAnsi="Times New Roman"/>
        </w:rPr>
        <w:t xml:space="preserve">  </w:t>
      </w:r>
      <w:r>
        <w:rPr>
          <w:rFonts w:cs="Times New Roman" w:ascii="Times New Roman" w:hAnsi="Times New Roman"/>
          <w:i/>
        </w:rPr>
        <w:t>DMA Report</w:t>
      </w:r>
      <w:r>
        <w:rPr>
          <w:rFonts w:cs="Times New Roman" w:ascii="Times New Roman" w:hAnsi="Times New Roman"/>
        </w:rPr>
        <w:t xml:space="preserve"> at 18.  As the Commission has already observed in this proceeding, California is fully integrated into the larger Western Interconnection.  </w:t>
      </w:r>
      <w:r>
        <w:rPr>
          <w:rFonts w:cs="Times New Roman" w:ascii="Times New Roman" w:hAnsi="Times New Roman"/>
          <w:i/>
        </w:rPr>
        <w:t>San Diego Gas and Electric Company v. Sellers of Energy and Ancillary Services into Markets Operated by the California Independent System Operator and the California Power Exchange, et al.</w:t>
      </w:r>
      <w:r>
        <w:rPr>
          <w:rFonts w:cs="Times New Roman" w:ascii="Times New Roman" w:hAnsi="Times New Roman"/>
        </w:rPr>
        <w:t xml:space="preserve">, 93 FERC </w:t>
      </w:r>
      <w:r>
        <w:rPr>
          <w:rFonts w:cs="WP TypographicSymbols" w:ascii="WP TypographicSymbols" w:hAnsi="WP TypographicSymbols"/>
        </w:rPr>
        <w:t>&amp;</w:t>
      </w:r>
      <w:r>
        <w:rPr>
          <w:rFonts w:cs="Times New Roman" w:ascii="Times New Roman" w:hAnsi="Times New Roman"/>
        </w:rPr>
        <w:t xml:space="preserve"> 61,121 at 61,357 (2000) ("[t]he events of this summer provide dramatic evidence of the interstate nature of electric systems and markets in the Western Interconnection. California is not an electrical island.  Operationally, the transmission facilities currently controlled by the ISO are part of the much larger Western Interconnection.") (footnotes omitted). </w:t>
      </w:r>
    </w:p>
    <w:p>
      <w:pPr>
        <w:sectPr>
          <w:footerReference w:type="default" r:id="rId2"/>
          <w:footnotePr>
            <w:numFmt w:val="decimal"/>
          </w:footnotePr>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DMA should therefore have considered market conditions throughout the West.  Had it done so, it would have realized that the West is experiencing an unprecedented shortage of power as a result of continued growth in demand throughout the region that has not been met by a corresponding increase in the development of generation infrastructure.  A recent study of the entire Western region by the Cambridge Energy Research Associates concluded that the Western region's current generation deficit is 10,000 MW.</w:t>
      </w:r>
      <w:r>
        <w:rPr>
          <w:rStyle w:val="FootnoteCharacters"/>
          <w:rStyle w:val="FootnoteReference"/>
          <w:rFonts w:cs="Times New Roman" w:ascii="Times New Roman" w:hAnsi="Times New Roman"/>
          <w:vertAlign w:val="superscript"/>
        </w:rPr>
        <w:footnoteReference w:id="6"/>
      </w:r>
      <w:r>
        <w:rPr>
          <w:rFonts w:cs="Times New Roman" w:ascii="Times New Roman" w:hAnsi="Times New Roman"/>
        </w:rPr>
        <w:t xml:space="preserve">  This concern is exacerbated by the drought that the West has recently experienced.</w:t>
      </w:r>
      <w:r>
        <w:rPr>
          <w:rStyle w:val="FootnoteCharacters"/>
          <w:rStyle w:val="FootnoteReference"/>
          <w:rFonts w:cs="Times New Roman" w:ascii="Times New Roman" w:hAnsi="Times New Roman"/>
          <w:vertAlign w:val="superscript"/>
        </w:rPr>
        <w:footnoteReference w:id="7"/>
      </w:r>
      <w:r>
        <w:rPr>
          <w:rFonts w:cs="Times New Roman" w:ascii="Times New Roman" w:hAnsi="Times New Roman"/>
        </w:rPr>
        <w:t xml:space="preserve">  Capacity shortages and below-normal precipitation increase the opportunity cost of hydroelectric energy.  Supply shortages throughout the West thus cause market prices in California to be determined by demand-side considerations; market-clearing prices will therefore not necessarily reflect variable operating costs, contrary to DMA's belief.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Contrary to DMA's flawed approach, the correct way to evaluate market prices, especially during times of scarcity when clearing prices rise above variable operating costs, is to compare prices in a particular market with those in adjacent markets.  Specifically, prices paid by the ISO should be compared with prices in the Pacific Northwest and the Desert Southwest.</w:t>
      </w:r>
      <w:r>
        <w:rPr>
          <w:rStyle w:val="FootnoteCharacters"/>
          <w:rStyle w:val="FootnoteReference"/>
          <w:rFonts w:cs="Times New Roman" w:ascii="Times New Roman" w:hAnsi="Times New Roman"/>
          <w:vertAlign w:val="superscript"/>
        </w:rPr>
        <w:footnoteReference w:id="8"/>
      </w:r>
      <w:r>
        <w:rPr>
          <w:rFonts w:cs="Times New Roman" w:ascii="Times New Roman" w:hAnsi="Times New Roman"/>
        </w:rPr>
        <w:t xml:space="preserve"> [ALAN: CAN YOU PROVIDE DATA THAT SHOWS THAT PRICES IN CALIFORNIA, PNW AND DESERT SW ARE COMPARABLE]  DMA's failure to do so undermines its analysis.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b/>
          <w:i/>
          <w:sz w:val="26"/>
        </w:rPr>
        <w:t>2.</w:t>
        <w:tab/>
        <w:t>Movants' Claim that Electricity Costs in California Have Been Excessive  Completely Ignores the Impact of Credit Concerns on Prices</w:t>
      </w:r>
      <w:r>
        <w:fldChar w:fldCharType="begin"/>
      </w:r>
      <w:r>
        <w:rPr/>
        <w:instrText xml:space="preserve"> TC "2.</w:instrText>
        <w:tab/>
        <w:instrText xml:space="preserve">Movants' Claim that Electricity Costs in California Have Been Excessive  Completely Ignores the Impact of Credit Concerns on Prices" \l 3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DMA's analysis is additionally defective since it fails to consider the impact of the utilities' current credit problems on prices.  The credit risk has loomed large since November 2000, when natural gas prices greatly increased the cost of power throughout the West and raised concerns that, in light of the retail rate freeze in California, Southern California Edison Company ("SCE") and Pacific Gas and Electric Company ("PG&amp;E") would not have the funds to pay for the electricity that they purchased through the PX nor be able to pay the ISO for ancillary services and imbalance energy that the ISO purchased to maintain system reliability.</w:t>
      </w:r>
      <w:r>
        <w:rPr>
          <w:rStyle w:val="FootnoteCharacters"/>
          <w:rStyle w:val="FootnoteReference"/>
          <w:rFonts w:cs="Times New Roman" w:ascii="Times New Roman" w:hAnsi="Times New Roman"/>
          <w:vertAlign w:val="superscript"/>
        </w:rPr>
        <w:footnoteReference w:id="9"/>
      </w:r>
      <w:r>
        <w:rPr>
          <w:rFonts w:cs="Times New Roman" w:ascii="Times New Roman" w:hAnsi="Times New Roman"/>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rPr>
      </w:pPr>
      <w:r>
        <w:rPr>
          <w:rFonts w:cs="Times New Roman" w:ascii="Times New Roman" w:hAnsi="Times New Roman"/>
        </w:rPr>
        <w:t>This concern turned out to be all too real when the utilities, fearing bankruptcy, began to default on payments to the ISO and PX in early January of this year.  SCE and PG&amp;E have since lost their creditworthy status, as has the ISO, which has not been able to pay its bills due to the defaults of the utilities.  In light of this credit crisis, sellers have had no assurance in recent months that they will be paid when they transact in either the PX's or ISO's markets.  Sellers of electricity, acting in an economically rational manner, are therefore requiring a risk premium in their prices, thereby raising prices.  DMA has completely failed to take this into account.  This further undermines the validity of its analysis.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rPr>
      </w:pPr>
      <w:r>
        <w:rPr>
          <w:rFonts w:cs="Times New Roman" w:ascii="Times New Roman" w:hAnsi="Times New Roman"/>
        </w:rPr>
        <w:t xml:space="preserve">For all of these reasons, the Commission should disregard DMA's analysis in any further order that it may issue in this proceeding that addresses prices in California's wholesale electricity markets.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i/>
          <w:i/>
          <w:sz w:val="26"/>
        </w:rPr>
      </w:pPr>
      <w:r>
        <w:rPr>
          <w:rFonts w:cs="Times New Roman" w:ascii="Times New Roman" w:hAnsi="Times New Roman"/>
          <w:b/>
          <w:i/>
          <w:sz w:val="26"/>
        </w:rPr>
      </w:r>
    </w:p>
    <w:p>
      <w:pPr>
        <w:pStyle w:val="Level1"/>
        <w:widowContro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rPr>
          <w:rFonts w:ascii="Times New Roman" w:hAnsi="Times New Roman" w:cs="Times New Roman"/>
          <w:b/>
          <w:i/>
          <w:i/>
          <w:sz w:val="26"/>
        </w:rPr>
      </w:pPr>
      <w:r>
        <w:rPr>
          <w:rFonts w:cs="Times New Roman" w:ascii="Times New Roman" w:hAnsi="Times New Roman"/>
          <w:b/>
          <w:i/>
          <w:sz w:val="26"/>
        </w:rPr>
        <w:t>3.</w:t>
        <w:tab/>
        <w:t>Movants' Request that the Commission Compel Market Participants to Respond to The ISO's Requests for Information Must be Rejected Because the Commission is Without Jurisdiction to Delegate its Enforcement Powers to Third Parties; Also, the Investigation that Movants Wish to Undertake is Redundant of the Investigation that the Commission is Already Conducting</w:t>
      </w:r>
    </w:p>
    <w:p>
      <w:pPr>
        <w:pStyle w:val="Level1"/>
        <w:widowControl/>
        <w:numPr>
          <w:ilvl w:val="0"/>
          <w:numId w:val="0"/>
        </w:numPr>
        <w:tabs>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b/>
          <w:i/>
          <w:i/>
          <w:sz w:val="26"/>
        </w:rPr>
      </w:pPr>
      <w:r>
        <w:rPr>
          <w:rFonts w:cs="Times New Roman" w:ascii="Times New Roman" w:hAnsi="Times New Roman"/>
          <w:b/>
          <w:i/>
          <w:sz w:val="26"/>
        </w:rPr>
      </w:r>
    </w:p>
    <w:p>
      <w:pPr>
        <w:sectPr>
          <w:footnotePr>
            <w:numFmt w:val="decimal"/>
          </w:footnote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Movants also request that market participants be required to provide data to the ISO and  "California state officials," </w:t>
      </w:r>
      <w:r>
        <w:rPr>
          <w:rFonts w:cs="Times New Roman" w:ascii="Times New Roman" w:hAnsi="Times New Roman"/>
          <w:i/>
        </w:rPr>
        <w:t>Motion</w:t>
      </w:r>
      <w:r>
        <w:rPr>
          <w:rFonts w:cs="Times New Roman" w:ascii="Times New Roman" w:hAnsi="Times New Roman"/>
        </w:rPr>
        <w:t xml:space="preserve"> at 9, the data that it previously requested of Scheduling Coordinators.  The stated purpose of this discovery is to facilitate Movants' ability to police the ISO market by "scrutiniz[ing] market behavior to identify anomalous market behavior," as defined in Section 2.1.1 of the ISO's Market Monitoring and Information Protocol ("MMIP").  </w:t>
      </w:r>
      <w:r>
        <w:rPr>
          <w:rFonts w:cs="Times New Roman" w:ascii="Times New Roman" w:hAnsi="Times New Roman"/>
          <w:i/>
        </w:rPr>
        <w:t>Motion</w:t>
      </w:r>
      <w:r>
        <w:rPr>
          <w:rFonts w:cs="Times New Roman" w:ascii="Times New Roman" w:hAnsi="Times New Roman"/>
        </w:rPr>
        <w:t xml:space="preserve"> at 12.  Movants cite to MMIP Section 4.5.1 as the basis of the ISO's authority to conduct such discovery.</w:t>
      </w:r>
      <w:r>
        <w:rPr>
          <w:rStyle w:val="FootnoteCharacters"/>
          <w:rStyle w:val="FootnoteReference"/>
          <w:rFonts w:cs="Times New Roman" w:ascii="Times New Roman" w:hAnsi="Times New Roman"/>
          <w:vertAlign w:val="superscript"/>
        </w:rPr>
        <w:footnoteReference w:id="10"/>
      </w:r>
      <w:r>
        <w:rPr>
          <w:rFonts w:cs="Times New Roman" w:ascii="Times New Roman" w:hAnsi="Times New Roman"/>
        </w:rPr>
        <w:t xml:space="preserve"> </w:t>
      </w:r>
      <w:r>
        <w:rPr>
          <w:rFonts w:cs="Times New Roman" w:ascii="Times New Roman" w:hAnsi="Times New Roman"/>
          <w:i/>
        </w:rPr>
        <w:t>Id.</w:t>
      </w:r>
      <w:r>
        <w:rPr>
          <w:rFonts w:cs="Times New Roman" w:ascii="Times New Roman" w:hAnsi="Times New Roman"/>
        </w:rPr>
        <w:t xml:space="preserve"> at 11.</w:t>
      </w:r>
    </w:p>
    <w:p>
      <w:pPr>
        <w:sectPr>
          <w:footnotePr>
            <w:numFmt w:val="decimal"/>
          </w:footnote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rPr>
      </w:pPr>
      <w:r>
        <w:rPr>
          <w:rFonts w:cs="Times New Roman" w:ascii="Times New Roman" w:hAnsi="Times New Roman"/>
        </w:rPr>
        <w:t xml:space="preserve">This request must be denied as a matter of law; it requests the Commission to delegate an investigative function to the ISO and EOB that Congress entrusted to the Commission under the Federal Power Act ("FPA"), which the Commission is without authority to delegate.  </w:t>
      </w:r>
      <w:r>
        <w:rPr>
          <w:rFonts w:cs="Times New Roman" w:ascii="Times New Roman" w:hAnsi="Times New Roman"/>
          <w:i/>
        </w:rPr>
        <w:t xml:space="preserve">Perot v. FEC, </w:t>
      </w:r>
      <w:r>
        <w:rPr>
          <w:rFonts w:cs="Times New Roman" w:ascii="Times New Roman" w:hAnsi="Times New Roman"/>
        </w:rPr>
        <w:t xml:space="preserve">97 F.3d 553, 559 (D.C. Cir. 1996), </w:t>
      </w:r>
      <w:r>
        <w:rPr>
          <w:rFonts w:cs="Times New Roman" w:ascii="Times New Roman" w:hAnsi="Times New Roman"/>
          <w:i/>
        </w:rPr>
        <w:t xml:space="preserve"> reh'g denied</w:t>
      </w:r>
      <w:r>
        <w:rPr>
          <w:rFonts w:cs="Times New Roman" w:ascii="Times New Roman" w:hAnsi="Times New Roman"/>
        </w:rPr>
        <w:t xml:space="preserve">, (October 15, 1996) ("[w]hen Congress has specifically vested an agency with the authority to administer a statute, it may not shift that responsibility to a private actor,"), </w:t>
      </w:r>
      <w:r>
        <w:rPr>
          <w:rFonts w:cs="Times New Roman" w:ascii="Times New Roman" w:hAnsi="Times New Roman"/>
          <w:i/>
        </w:rPr>
        <w:t>cert. denied sub nom. Hagelin v. FEC</w:t>
      </w:r>
      <w:r>
        <w:rPr>
          <w:rFonts w:cs="Times New Roman" w:ascii="Times New Roman" w:hAnsi="Times New Roman"/>
        </w:rPr>
        <w:t xml:space="preserve">, 520 U.S. 1210 (1997).   An agency may not delegate its enforcement powers to a third-party in the absence of an intent by the  legislature in the agency's enabling legislation.  </w:t>
      </w:r>
      <w:r>
        <w:rPr>
          <w:rFonts w:cs="Times New Roman" w:ascii="Times New Roman" w:hAnsi="Times New Roman"/>
          <w:i/>
        </w:rPr>
        <w:t xml:space="preserve">See Assiniboine &amp; Sioux Tribes v. Board of Oil &amp; Gas Conservation, </w:t>
      </w:r>
      <w:r>
        <w:rPr>
          <w:rFonts w:cs="Times New Roman" w:ascii="Times New Roman" w:hAnsi="Times New Roman"/>
        </w:rPr>
        <w:t>792 F.2d 782, 795 (9th Cir. 1986).  The idea of delegation of the Commission's enforcement jurisdiction is nowhere to be found in the text of the FPA and there is nothing to demonstrate that Congress had delegation in mind when it enacted the FPA.  To the contrary, Sections 307, 314, 315, and 316 of the FPA provide the Commission with comprehensive and exclusive civil enforcement authority.</w:t>
      </w:r>
      <w:r>
        <w:rPr>
          <w:rStyle w:val="FootnoteCharacters"/>
          <w:rStyle w:val="FootnoteReference"/>
          <w:rFonts w:cs="Times New Roman" w:ascii="Times New Roman" w:hAnsi="Times New Roman"/>
          <w:vertAlign w:val="superscript"/>
        </w:rPr>
        <w:footnoteReference w:id="11"/>
      </w:r>
      <w:r>
        <w:rPr>
          <w:rFonts w:cs="Times New Roman" w:ascii="Times New Roman" w:hAnsi="Times New Roman"/>
        </w:rPr>
        <w:t xml:space="preserve">  These provisions preclude individuals from acting as private attorney generals enforcing the provisions of the Act. </w:t>
      </w:r>
      <w:r>
        <w:rPr>
          <w:rFonts w:cs="Times New Roman" w:ascii="Times New Roman" w:hAnsi="Times New Roman"/>
          <w:i/>
        </w:rPr>
        <w:t xml:space="preserve"> See Clark v. Gulf Oil Corp., </w:t>
      </w:r>
      <w:r>
        <w:rPr>
          <w:rFonts w:cs="Times New Roman" w:ascii="Times New Roman" w:hAnsi="Times New Roman"/>
        </w:rPr>
        <w:t xml:space="preserve">570 F.2d 1138, 1149 (3rd Cir. 1977), </w:t>
      </w:r>
      <w:r>
        <w:rPr>
          <w:rFonts w:cs="Times New Roman" w:ascii="Times New Roman" w:hAnsi="Times New Roman"/>
          <w:i/>
        </w:rPr>
        <w:t>cert. denied sub nom. Philadelphia Gas Works v. Gulf Oil Corp</w:t>
      </w:r>
      <w:r>
        <w:rPr>
          <w:rFonts w:cs="Times New Roman" w:ascii="Times New Roman" w:hAnsi="Times New Roman"/>
        </w:rPr>
        <w:t xml:space="preserve">., 435 U.S. 970 (1978) ; </w:t>
      </w:r>
      <w:r>
        <w:rPr>
          <w:rFonts w:cs="Times New Roman" w:ascii="Times New Roman" w:hAnsi="Times New Roman"/>
          <w:i/>
        </w:rPr>
        <w:t xml:space="preserve">see also City of Gainesville v. Florida Power &amp; Light Co., </w:t>
      </w:r>
      <w:r>
        <w:rPr>
          <w:rFonts w:cs="Times New Roman" w:ascii="Times New Roman" w:hAnsi="Times New Roman"/>
        </w:rPr>
        <w:t xml:space="preserve">488 F. Supp. 1258, 1277-78 (S.D. Fla. 1980) (noting that the legislative history of the NGA, which was modeled after the FPA, does not suggest the existence of any private rights of action); </w:t>
      </w:r>
      <w:r>
        <w:rPr>
          <w:rFonts w:cs="Times New Roman" w:ascii="Times New Roman" w:hAnsi="Times New Roman"/>
          <w:i/>
        </w:rPr>
        <w:t xml:space="preserve">see also Consumers Power Co., </w:t>
      </w:r>
      <w:r>
        <w:rPr>
          <w:rFonts w:cs="Times New Roman" w:ascii="Times New Roman" w:hAnsi="Times New Roman"/>
        </w:rPr>
        <w:t xml:space="preserve">68 FERC </w:t>
      </w:r>
      <w:r>
        <w:rPr>
          <w:rFonts w:cs="WP TypographicSymbols" w:ascii="WP TypographicSymbols" w:hAnsi="WP TypographicSymbols"/>
          <w:i/>
        </w:rPr>
        <w:t>&amp;</w:t>
      </w:r>
      <w:r>
        <w:rPr>
          <w:rFonts w:cs="Times New Roman" w:ascii="Times New Roman" w:hAnsi="Times New Roman"/>
          <w:i/>
        </w:rPr>
        <w:t xml:space="preserve"> </w:t>
      </w:r>
      <w:r>
        <w:rPr>
          <w:rFonts w:cs="Times New Roman" w:ascii="Times New Roman" w:hAnsi="Times New Roman"/>
        </w:rPr>
        <w:t>61,077, at 61,378-79 (1994) (holding that a settlement that gives the authority to assess penalties related to hydropower to an entity other than FERC under the FPA is impermissible as it conflicts with the FPA).</w:t>
      </w:r>
      <w:r>
        <w:rPr>
          <w:rStyle w:val="FootnoteCharacters"/>
          <w:rStyle w:val="FootnoteReference"/>
          <w:rFonts w:cs="Times New Roman" w:ascii="Times New Roman" w:hAnsi="Times New Roman"/>
          <w:vertAlign w:val="superscript"/>
        </w:rPr>
        <w:footnoteReference w:id="12"/>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Delegation of administrative authority to private parties is particularly suspect when it is  given to an entity whose objectivity may be questioned on grounds of conflict of interest.  </w:t>
      </w:r>
      <w:r>
        <w:rPr>
          <w:rFonts w:cs="Times New Roman" w:ascii="Times New Roman" w:hAnsi="Times New Roman"/>
          <w:i/>
        </w:rPr>
        <w:t xml:space="preserve">Sierra Club v. Sigler, </w:t>
      </w:r>
      <w:r>
        <w:rPr>
          <w:rFonts w:cs="Times New Roman" w:ascii="Times New Roman" w:hAnsi="Times New Roman"/>
        </w:rPr>
        <w:t xml:space="preserve">695 F.2d 957, 963 n.3 (5th Cir. 1983),  </w:t>
      </w:r>
      <w:r>
        <w:rPr>
          <w:rFonts w:cs="Times New Roman" w:ascii="Times New Roman" w:hAnsi="Times New Roman"/>
          <w:i/>
        </w:rPr>
        <w:t>reh'g denied</w:t>
      </w:r>
      <w:r>
        <w:rPr>
          <w:rFonts w:cs="Times New Roman" w:ascii="Times New Roman" w:hAnsi="Times New Roman"/>
        </w:rPr>
        <w:t>, 704 F.2d 1251 (5th Cir.  1983).  In this regard, the objectivity of the ISO, the EOB, and the other unnamed "California state officials"  concerning the market issues that have arisen in the past several months is subject to considerable question.  On January 18, 2001, the California legislature, in defiance of the December 15 Order, enacted Assembly Bill 5X ("AB 5X"), which provides that the Governor of California shall appoint all five members of a new non-stakeholder Board, subject only to confirmation by the EOB.</w:t>
      </w:r>
      <w:r>
        <w:rPr>
          <w:rStyle w:val="FootnoteCharacters"/>
          <w:rStyle w:val="FootnoteReference"/>
          <w:rFonts w:cs="Times New Roman" w:ascii="Times New Roman" w:hAnsi="Times New Roman"/>
          <w:vertAlign w:val="superscript"/>
        </w:rPr>
        <w:footnoteReference w:id="13"/>
      </w:r>
      <w:r>
        <w:rPr>
          <w:rFonts w:cs="Times New Roman" w:ascii="Times New Roman" w:hAnsi="Times New Roman"/>
        </w:rPr>
        <w:t xml:space="preserve">  Within days of enactment of this legislation, California Governor Gray Davis "nominated" five California residents to the ISO Board, which the EOB, to no one's surprise, confirmed on January 23, 2001.  That same day, California Attorney General Bill Lockyer filed a </w:t>
      </w:r>
      <w:r>
        <w:rPr>
          <w:rFonts w:cs="Times New Roman" w:ascii="Times New Roman" w:hAnsi="Times New Roman"/>
          <w:i/>
        </w:rPr>
        <w:t>Complaint in Quo Warranto</w:t>
      </w:r>
      <w:r>
        <w:rPr>
          <w:rFonts w:cs="Times New Roman" w:ascii="Times New Roman" w:hAnsi="Times New Roman"/>
        </w:rPr>
        <w:t xml:space="preserve"> in the Sacramento County Superior Court to compel the 26 stakeholder members on the ISO Board to resign their offices immediately, or be subject to the prosecution of the Complaint, including the potential for civil penalties and onerous legal bills.  Not surprisingly, the 26 members resigned under duress and the ISO Board is now manned by the five California residents hand-picked by Governor Davis.  </w:t>
      </w:r>
    </w:p>
    <w:p>
      <w:pPr>
        <w:sectPr>
          <w:footnotePr>
            <w:numFmt w:val="decimal"/>
          </w:footnote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Having been seated in blatant violation of the December 15 Order, as well as the independence criteria that the Commission has established and applied specifically with regard to the ISO Board,</w:t>
      </w:r>
      <w:r>
        <w:rPr>
          <w:rStyle w:val="FootnoteCharacters"/>
          <w:rStyle w:val="FootnoteReference"/>
          <w:rFonts w:cs="Times New Roman" w:ascii="Times New Roman" w:hAnsi="Times New Roman"/>
          <w:vertAlign w:val="superscript"/>
        </w:rPr>
        <w:footnoteReference w:id="14"/>
      </w:r>
      <w:r>
        <w:rPr>
          <w:rFonts w:cs="Times New Roman" w:ascii="Times New Roman" w:hAnsi="Times New Roman"/>
        </w:rPr>
        <w:t xml:space="preserve"> Movants can make no claim that the current ISO Board would be an objective arbiter of any investigation of California market issues.</w:t>
      </w:r>
      <w:r>
        <w:rPr>
          <w:rStyle w:val="FootnoteCharacters"/>
          <w:rStyle w:val="FootnoteReference"/>
          <w:rFonts w:cs="Times New Roman" w:ascii="Times New Roman" w:hAnsi="Times New Roman"/>
          <w:vertAlign w:val="superscript"/>
        </w:rPr>
        <w:footnoteReference w:id="15"/>
      </w:r>
      <w:r>
        <w:rPr>
          <w:rFonts w:cs="Times New Roman" w:ascii="Times New Roman" w:hAnsi="Times New Roman"/>
        </w:rPr>
        <w:t xml:space="preserve">  Nor could they.  </w:t>
        <w:tab/>
        <w:t xml:space="preserve">As is evident by the numerous investigations that have already been established in Calfiornia in recent months </w:t>
      </w:r>
      <w:r>
        <w:rPr>
          <w:rFonts w:cs="WP TypographicSymbols" w:ascii="WP TypographicSymbols" w:hAnsi="WP TypographicSymbols"/>
        </w:rPr>
        <w:t>C</w:t>
      </w:r>
      <w:r>
        <w:rPr>
          <w:rFonts w:cs="Times New Roman" w:ascii="Times New Roman" w:hAnsi="Times New Roman"/>
        </w:rPr>
        <w:t xml:space="preserve"> investigations that we submit impermissibly invade the Commission's jurisdiction </w:t>
      </w:r>
      <w:r>
        <w:rPr>
          <w:rFonts w:cs="WP TypographicSymbols" w:ascii="WP TypographicSymbols" w:hAnsi="WP TypographicSymbols"/>
        </w:rPr>
        <w:t>C</w:t>
      </w:r>
      <w:r>
        <w:rPr>
          <w:rFonts w:cs="Times New Roman" w:ascii="Times New Roman" w:hAnsi="Times New Roman"/>
        </w:rPr>
        <w:t xml:space="preserve"> and the rhetoric emanating from the Golden State, it is obvious that these California officials have already concluded in their own minds that "out-of-state" generators are guilty of market manipulation and abuse.  Thus, any investigation by ISO and EOB into market activity of EPMI and other sellers for the events of the past year would be about as fair as a Soviet-style show trial.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 xml:space="preserve">Even assuming, </w:t>
      </w:r>
      <w:r>
        <w:rPr>
          <w:rFonts w:cs="Times New Roman" w:ascii="Times New Roman" w:hAnsi="Times New Roman"/>
          <w:i/>
        </w:rPr>
        <w:t>arguendo</w:t>
      </w:r>
      <w:r>
        <w:rPr>
          <w:rFonts w:cs="Times New Roman" w:ascii="Times New Roman" w:hAnsi="Times New Roman"/>
        </w:rPr>
        <w:t>, that the Commission may, as a matter of law, delegate its enforcement and sanctioning powers to the ISO, MMIP Section 2.1.1 nevertheless provides no basis for either the ISO or the EOB to conduct an investigation into wholesale markets since that provision violates the requirements of the filed rate doctrine that market participants must be afforded notice of the terms and conditions under which FERC-jurisdictional service is being provided,</w:t>
      </w:r>
      <w:r>
        <w:rPr>
          <w:rStyle w:val="FootnoteCharacters"/>
          <w:rStyle w:val="FootnoteReference"/>
          <w:rFonts w:cs="Times New Roman" w:ascii="Times New Roman" w:hAnsi="Times New Roman"/>
          <w:vertAlign w:val="superscript"/>
        </w:rPr>
        <w:footnoteReference w:id="16"/>
      </w:r>
      <w:r>
        <w:rPr>
          <w:rFonts w:cs="Times New Roman" w:ascii="Times New Roman" w:hAnsi="Times New Roman"/>
        </w:rPr>
        <w:t xml:space="preserve"> </w:t>
      </w:r>
      <w:r>
        <w:rPr>
          <w:rFonts w:cs="Times New Roman" w:ascii="Times New Roman" w:hAnsi="Times New Roman"/>
          <w:i/>
        </w:rPr>
        <w:t>Associated Gas Distributors v. FERC</w:t>
      </w:r>
      <w:r>
        <w:rPr>
          <w:rFonts w:cs="Times New Roman" w:ascii="Times New Roman" w:hAnsi="Times New Roman"/>
        </w:rPr>
        <w:t xml:space="preserve">, 893 F.2d 349, 356 (D.C. Cir. 1989) (providing the necessary predictability is the whole purpose of the filed rate doctrine).  In </w:t>
      </w:r>
      <w:r>
        <w:rPr>
          <w:rFonts w:cs="Times New Roman" w:ascii="Times New Roman" w:hAnsi="Times New Roman"/>
          <w:i/>
        </w:rPr>
        <w:t>New York Independent System Operator</w:t>
      </w:r>
      <w:r>
        <w:rPr>
          <w:rFonts w:cs="Times New Roman" w:ascii="Times New Roman" w:hAnsi="Times New Roman"/>
        </w:rPr>
        <w:t xml:space="preserve">, 89 FERC </w:t>
      </w:r>
      <w:r>
        <w:rPr>
          <w:rFonts w:cs="WP TypographicSymbols" w:ascii="WP TypographicSymbols" w:hAnsi="WP TypographicSymbols"/>
        </w:rPr>
        <w:t>&amp;</w:t>
      </w:r>
      <w:r>
        <w:rPr>
          <w:rFonts w:cs="Times New Roman" w:ascii="Times New Roman" w:hAnsi="Times New Roman"/>
        </w:rPr>
        <w:t> 61,196 (1999) ("</w:t>
      </w:r>
      <w:r>
        <w:rPr>
          <w:rFonts w:cs="Times New Roman" w:ascii="Times New Roman" w:hAnsi="Times New Roman"/>
          <w:i/>
        </w:rPr>
        <w:t>NYISO</w:t>
      </w:r>
      <w:r>
        <w:rPr>
          <w:rFonts w:cs="Times New Roman" w:ascii="Times New Roman" w:hAnsi="Times New Roman"/>
        </w:rPr>
        <w:t xml:space="preserve">"), the Commission held that  market monitoring provisions must be narrowly written with carefully-crafted "bright-line" standards that do not give the ISO subjective discretion to define what constitutes improper market behavior on an </w:t>
      </w:r>
      <w:r>
        <w:rPr>
          <w:rFonts w:cs="Times New Roman" w:ascii="Times New Roman" w:hAnsi="Times New Roman"/>
          <w:i/>
        </w:rPr>
        <w:t>ad hoc</w:t>
      </w:r>
      <w:r>
        <w:rPr>
          <w:rFonts w:cs="Times New Roman" w:ascii="Times New Roman" w:hAnsi="Times New Roman"/>
        </w:rPr>
        <w:t xml:space="preserve"> basis, but which provide market participants with clear notice of the behavior that is being prohibited.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rFonts w:cs="Times New Roman" w:ascii="Times New Roman" w:hAnsi="Times New Roman"/>
        </w:rPr>
        <w:t>The "anomalous market behavior" standard contained in MMIP Section 2.1.1 is particularly vague and subjective since this standard is defined only as behavior "that departs significantly from the normal behavior in competitive markets" or behavior leading to "unusual or unexplained market outcomes."</w:t>
      </w:r>
      <w:r>
        <w:rPr>
          <w:rStyle w:val="FootnoteCharacters"/>
          <w:rStyle w:val="FootnoteReference"/>
          <w:rFonts w:cs="Times New Roman" w:ascii="Times New Roman" w:hAnsi="Times New Roman"/>
          <w:vertAlign w:val="superscript"/>
        </w:rPr>
        <w:footnoteReference w:id="17"/>
      </w:r>
      <w:r>
        <w:rPr>
          <w:rFonts w:cs="Times New Roman" w:ascii="Times New Roman" w:hAnsi="Times New Roman"/>
        </w:rPr>
        <w:t xml:space="preserve">  As can be seen, this provision gives the ISO the power to police for vaguely-defined, subjective behavior that does not provide market participants with clear knowledge of what is being prohibited.  This fails to provide the specific thresholds and bright line tests that the Commission found in </w:t>
      </w:r>
      <w:r>
        <w:rPr>
          <w:rFonts w:cs="Times New Roman" w:ascii="Times New Roman" w:hAnsi="Times New Roman"/>
          <w:i/>
        </w:rPr>
        <w:t>NYISO</w:t>
      </w:r>
      <w:r>
        <w:rPr>
          <w:rFonts w:cs="Times New Roman" w:ascii="Times New Roman" w:hAnsi="Times New Roman"/>
        </w:rPr>
        <w:t xml:space="preserve"> to be essential.</w:t>
      </w:r>
      <w:r>
        <w:rPr>
          <w:rStyle w:val="FootnoteCharacters"/>
          <w:rStyle w:val="FootnoteReference"/>
          <w:rFonts w:cs="Times New Roman" w:ascii="Times New Roman" w:hAnsi="Times New Roman"/>
          <w:vertAlign w:val="superscript"/>
        </w:rPr>
        <w:footnoteReference w:id="18"/>
      </w:r>
      <w:r>
        <w:rPr>
          <w:rFonts w:cs="Times New Roman" w:ascii="Times New Roman" w:hAnsi="Times New Roman"/>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rPr>
      </w:pPr>
      <w:r>
        <w:rPr>
          <w:rFonts w:cs="Times New Roman" w:ascii="Times New Roman" w:hAnsi="Times New Roman"/>
        </w:rPr>
        <w:t>For all of these reasons, the investigation that Movants seek to conduct is on its face unlawful.  As a result, there is no basis for the ISO to serve discovery and obtain information from ISO market participants.  Movants request that market participants be required to respond to the ISO's discovery requests should therefore be denied.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sz w:val="26"/>
        </w:rPr>
        <w:tab/>
      </w:r>
      <w:r>
        <w:rPr>
          <w:rFonts w:cs="Times New Roman" w:ascii="Times New Roman" w:hAnsi="Times New Roman"/>
          <w:b/>
          <w:sz w:val="26"/>
          <w:u w:val="single"/>
        </w:rPr>
        <w:t>CONCLUSION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rFonts w:ascii="Times New Roman" w:hAnsi="Times New Roman" w:cs="Times New Roman"/>
          <w:b/>
        </w:rPr>
      </w:pPr>
      <w:r>
        <w:rPr>
          <w:rFonts w:cs="Times New Roman" w:ascii="Times New Roman" w:hAnsi="Times New Roman"/>
        </w:rPr>
        <w:t xml:space="preserve">For the foregoing reasons, the ISO's and EOB's March 1, 2001 motion in this proceeding should be denied.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Ronald N. Carroll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Kimberly A. Curry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Bracewell &amp; Patterson, L.L.P.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sz w:val="20"/>
        </w:rPr>
        <w:t>A Registered Limited Liability Partnership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2000 K Street, N.W., Suite 500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Washington, DC   20006-1872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(202) 828-5800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Counsel for Enron Power Marketing,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March 16, 2001</w:t>
      </w:r>
    </w:p>
    <w:p>
      <w:pPr>
        <w:sectPr>
          <w:footnotePr>
            <w:numFmt w:val="decimal"/>
          </w:footnote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b/>
        </w:rPr>
        <w:tab/>
        <w:t>CERTIFICATE OF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t>Dated at Washington, D.C., this 16th day of March, 2001.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rPr>
      </w:pPr>
      <w:r>
        <w:rPr>
          <w:rFonts w:cs="Times New Roman" w:ascii="Times New Roman" w:hAnsi="Times New Roman"/>
        </w:rPr>
        <w:t>__________________________________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Kimberly A. Curry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0"/>
        </w:rPr>
      </w:pPr>
      <w:r>
        <w:rPr>
          <w:rFonts w:cs="Times New Roman" w:ascii="Times New Roman" w:hAnsi="Times New Roman"/>
          <w:sz w:val="20"/>
        </w:rPr>
        <w:t>139130</w:t>
      </w:r>
    </w:p>
    <w:sectPr>
      <w:footerReference w:type="default" r:id="rId3"/>
      <w:footnotePr>
        <w:numFmt w:val="decimal"/>
      </w:footnotePr>
      <w:type w:val="nextPage"/>
      <w:pgSz w:w="12240" w:h="15840"/>
      <w:pgMar w:left="1440" w:right="1440" w:gutter="0" w:header="0" w:top="1440"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WP TypographicSymbols">
    <w:charset w:val="00" w:characterSet="windows-125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i/>
          <w:sz w:val="22"/>
        </w:rPr>
        <w:t>"Report on Real Time Supply Costs Above Single Price Auction Threshold: December 8, 2000-January 31, 2001."</w:t>
      </w:r>
    </w:p>
  </w:footnote>
  <w:footnote w:id="3">
    <w:p>
      <w:pPr>
        <w:pStyle w:val="Normal"/>
        <w:spacing w:before="0" w:after="240"/>
        <w:ind w:firstLine="720" w:end="0"/>
        <w:jc w:val="both"/>
        <w:rPr/>
      </w:pPr>
      <w:r>
        <w:rPr>
          <w:rStyle w:val="FootnoteCharacters"/>
        </w:rPr>
        <w:footnoteRef/>
      </w:r>
      <w:r>
        <w:rPr>
          <w:rFonts w:cs="Times New Roman" w:ascii="Times New Roman" w:hAnsi="Times New Roman"/>
          <w:sz w:val="22"/>
        </w:rPr>
        <w:t xml:space="preserve"> </w:t>
      </w:r>
      <w:r>
        <w:rPr>
          <w:rFonts w:cs="Times New Roman" w:ascii="Times New Roman" w:hAnsi="Times New Roman"/>
          <w:sz w:val="22"/>
        </w:rPr>
        <w:t>DMA also notes that its analysis is "preliminary" and is based upon incomplete data.  It admits that its conclusions could thus be incorrect.</w:t>
      </w:r>
    </w:p>
  </w:footnote>
  <w:footnote w:id="4">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sz w:val="22"/>
        </w:rPr>
        <w:t>EPMI has proposed a screening method for determining reasonable prices in the RTO proceedings, as a member of the Electric Power Supply Association (EPSA).  That proposal includes a multi-level approach to assessing market power.  In the first level, the RTO market-monitoring unit (MMU) would identify which prices exceed a competitive screen.  In the second level, the MMU would investigate possible anticompetitive actions in only the time periods with prices that exceed the screen.</w:t>
      </w:r>
      <w:r>
        <w:rPr>
          <w:rFonts w:cs="Times New Roman" w:ascii="Times New Roman" w:hAnsi="Times New Roman"/>
          <w:i/>
          <w:sz w:val="22"/>
        </w:rPr>
        <w:t xml:space="preserve"> See "Market Monitoring: A White Paper,"</w:t>
      </w:r>
      <w:r>
        <w:rPr>
          <w:rFonts w:cs="Times New Roman" w:ascii="Times New Roman" w:hAnsi="Times New Roman"/>
          <w:sz w:val="22"/>
        </w:rPr>
        <w:t xml:space="preserve"> appended to EPSA's Comments, February __, 2001.</w:t>
      </w:r>
    </w:p>
  </w:footnote>
  <w:footnote w:id="5">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sz w:val="22"/>
        </w:rPr>
        <w:t xml:space="preserve">DMA's simplistic view that just and reasonable prices in California should be determined by viewing conditions in California in isolation from the rest of the West is belied by its later observation that California is in fact integrated into the Western region for reliability purposes.   </w:t>
      </w:r>
      <w:r>
        <w:rPr>
          <w:rFonts w:cs="Times New Roman" w:ascii="Times New Roman" w:hAnsi="Times New Roman"/>
          <w:i/>
          <w:sz w:val="22"/>
        </w:rPr>
        <w:t xml:space="preserve">DMA Report at </w:t>
      </w:r>
      <w:r>
        <w:rPr>
          <w:rFonts w:cs="Times New Roman" w:ascii="Times New Roman" w:hAnsi="Times New Roman"/>
          <w:sz w:val="22"/>
        </w:rPr>
        <w:t xml:space="preserve">18 (ISO relied on approximately </w:t>
      </w:r>
      <w:r>
        <w:rPr>
          <w:rFonts w:cs="Times New Roman" w:ascii="Times New Roman" w:hAnsi="Times New Roman"/>
          <w:i/>
          <w:sz w:val="22"/>
        </w:rPr>
        <w:t>2,000 MW of imports</w:t>
      </w:r>
      <w:r>
        <w:rPr>
          <w:rFonts w:cs="Times New Roman" w:ascii="Times New Roman" w:hAnsi="Times New Roman"/>
          <w:sz w:val="22"/>
        </w:rPr>
        <w:t xml:space="preserve"> during the subject period and relies as much on imports as it does on electricity generated by California non-utility-owned generation to meet its needs).</w:t>
      </w:r>
    </w:p>
  </w:footnote>
  <w:footnote w:id="6">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sz w:val="22"/>
        </w:rPr>
        <w:t>[Cite CERA Study]</w:t>
      </w:r>
    </w:p>
  </w:footnote>
  <w:footnote w:id="7">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sz w:val="22"/>
        </w:rPr>
        <w:t xml:space="preserve">Precipitation in the West is well below normal, especially in the Pacific Northwest.  In a normal year, the Pacific Northwest provides over 16,000 average MW (aMW) annually.  Current estimates are that precipitation will be approximately 50% of normal for this year, which is close to the lowest level on record.  Thus, </w:t>
      </w:r>
      <w:r>
        <w:rPr>
          <w:rFonts w:cs="Times New Roman" w:ascii="Times New Roman" w:hAnsi="Times New Roman"/>
          <w:i/>
          <w:sz w:val="22"/>
        </w:rPr>
        <w:t>over 8,000 aMW will be unavailable from the system this year due to U.S. PNW hydro considerations alone</w:t>
      </w:r>
      <w:r>
        <w:rPr>
          <w:rFonts w:cs="Times New Roman" w:ascii="Times New Roman" w:hAnsi="Times New Roman"/>
          <w:sz w:val="22"/>
        </w:rPr>
        <w:t xml:space="preserve">. Subsequent reports and projects continue to paint a bleak picture.  Given that a significant portion of the Pacific Northwest hydroelectric system can store power over the year, a MWh of hydroelectric energy used during the period in question made one less MWh available for this summer.  As a result winter market prices have been high, reflecting scarcity that is expected this summer. </w:t>
      </w:r>
    </w:p>
  </w:footnote>
  <w:footnote w:id="8">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sz w:val="22"/>
        </w:rPr>
        <w:t>Rather than perform this analysis, DMA instead uses the "cost of thermal generation (at a 12,000 [Btu/kWh] heat rate x daily spot market gas prices) plus a margin equal to the less of 10% of operating costs of $25/MWh" as a cost standard for imports.  This standard is completely irrelevant for imports to California given that the sellers of imported power have alternative markets to sell into.</w:t>
      </w:r>
    </w:p>
  </w:footnote>
  <w:footnote w:id="9">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sz w:val="22"/>
        </w:rPr>
        <w:t xml:space="preserve">Under section 11.16.1 of the ISO's tariff, when it is unable to pay for electricity that it purchases to maintain system reliability due to the default of a market participant, the ISO makes </w:t>
      </w:r>
      <w:r>
        <w:rPr>
          <w:rFonts w:cs="Times New Roman" w:ascii="Times New Roman" w:hAnsi="Times New Roman"/>
          <w:i/>
          <w:sz w:val="22"/>
        </w:rPr>
        <w:t xml:space="preserve">pro rata </w:t>
      </w:r>
      <w:r>
        <w:rPr>
          <w:rFonts w:cs="Times New Roman" w:ascii="Times New Roman" w:hAnsi="Times New Roman"/>
          <w:sz w:val="22"/>
        </w:rPr>
        <w:t>payment reductions to its creditors.</w:t>
      </w:r>
    </w:p>
  </w:footnote>
  <w:footnote w:id="10">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sz w:val="22"/>
        </w:rPr>
        <w:t>In Docket Nos. ER98-3760-000 (the "Unresolved Issues" case), EPMI is challenging the ISO's right to obtain discovery and conduct an enforcement and police function over its markets.  This matter is pending before the Commission.</w:t>
      </w:r>
    </w:p>
  </w:footnote>
  <w:footnote w:id="11">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Bookman Old Style" w:ascii="Bookman Old Style" w:hAnsi="Bookman Old Style"/>
          <w:sz w:val="22"/>
        </w:rPr>
        <w:t>Section 307 gives the Commission the power to investigate, providing such tools as the authority to compel depositions, the ability to mandate attendance or compliance, and the power of subpoena.  Section 314 of the FPA allows the Commission to bring an action in a U.S. District Court to enjoin violations of the Act or orders issued pursuant to it.  Section 315 allows the Commission to impose forfeitures on any licencee that willfully fails to comply with an order, rule or regulation of the Commission.  Section 316 sets forth criminal penalties, consisting of fines or imprisonment, for willful or knowing violations of the Act.</w:t>
      </w:r>
    </w:p>
  </w:footnote>
  <w:footnote w:id="12">
    <w:p>
      <w:pPr>
        <w:pStyle w:val="Normal"/>
        <w:spacing w:before="0" w:after="240"/>
        <w:ind w:firstLine="720" w:end="0"/>
        <w:jc w:val="both"/>
        <w:rPr/>
      </w:pPr>
      <w:r>
        <w:rPr>
          <w:rStyle w:val="FootnoteCharacters"/>
        </w:rPr>
        <w:footnoteRef/>
      </w:r>
      <w:r>
        <w:rPr>
          <w:rFonts w:cs="Times New Roman" w:ascii="Times New Roman" w:hAnsi="Times New Roman"/>
          <w:sz w:val="22"/>
        </w:rPr>
        <w:t xml:space="preserve"> </w:t>
      </w:r>
      <w:r>
        <w:rPr>
          <w:rFonts w:cs="Times New Roman" w:ascii="Times New Roman" w:hAnsi="Times New Roman"/>
          <w:sz w:val="22"/>
        </w:rPr>
        <w:t xml:space="preserve">Another important factor in evaluating the lawfulness of an agency's determination to delegate its powers is whether the non-federal delegatee has final decision-making authority or whether the agency retains the power to review any decision made by the non-federal body.  </w:t>
      </w:r>
      <w:r>
        <w:rPr>
          <w:rFonts w:cs="Times New Roman" w:ascii="Times New Roman" w:hAnsi="Times New Roman"/>
          <w:i/>
          <w:sz w:val="22"/>
        </w:rPr>
        <w:t xml:space="preserve">See Friends of Endangered Species, Inc. v. Jantzen, </w:t>
      </w:r>
      <w:r>
        <w:rPr>
          <w:rFonts w:cs="Times New Roman" w:ascii="Times New Roman" w:hAnsi="Times New Roman"/>
          <w:sz w:val="22"/>
        </w:rPr>
        <w:t xml:space="preserve">589 F.Supp. 113, 118-19 (N.D. Cal. 1984), </w:t>
      </w:r>
      <w:r>
        <w:rPr>
          <w:rFonts w:cs="Times New Roman" w:ascii="Times New Roman" w:hAnsi="Times New Roman"/>
          <w:i/>
          <w:sz w:val="22"/>
        </w:rPr>
        <w:t xml:space="preserve">affd, </w:t>
      </w:r>
      <w:r>
        <w:rPr>
          <w:rFonts w:cs="Times New Roman" w:ascii="Times New Roman" w:hAnsi="Times New Roman"/>
          <w:sz w:val="22"/>
        </w:rPr>
        <w:t xml:space="preserve">760 F.2d 976 (9th Cir. 1985), </w:t>
      </w:r>
      <w:r>
        <w:rPr>
          <w:rFonts w:cs="Times New Roman" w:ascii="Times New Roman" w:hAnsi="Times New Roman"/>
          <w:i/>
          <w:sz w:val="22"/>
        </w:rPr>
        <w:t xml:space="preserve">aff'd, </w:t>
      </w:r>
      <w:r>
        <w:rPr>
          <w:rFonts w:cs="Times New Roman" w:ascii="Times New Roman" w:hAnsi="Times New Roman"/>
          <w:sz w:val="22"/>
        </w:rPr>
        <w:t>760 F.2d 976 (9th Cir. 1985) (noting that federal agency's delegation of environmental research to a third party is impermissible if the agency fails to adequately review the work).  MMIP Section 2.1.1 does not contemplate review by the Commission of the ISO's enforcement and sanctions decisions.</w:t>
      </w:r>
    </w:p>
  </w:footnote>
  <w:footnote w:id="13">
    <w:p>
      <w:pPr>
        <w:pStyle w:val="Normal"/>
        <w:spacing w:before="0" w:after="240"/>
        <w:ind w:firstLine="720" w:end="0"/>
        <w:jc w:val="both"/>
        <w:rPr/>
      </w:pPr>
      <w:r>
        <w:rPr>
          <w:rStyle w:val="FootnoteCharacters"/>
        </w:rPr>
        <w:footnoteRef/>
      </w:r>
      <w:r>
        <w:rPr>
          <w:rFonts w:cs="Times New Roman" w:ascii="Times New Roman" w:hAnsi="Times New Roman"/>
          <w:sz w:val="22"/>
        </w:rPr>
        <w:t xml:space="preserve"> </w:t>
      </w:r>
      <w:r>
        <w:rPr>
          <w:rFonts w:cs="Times New Roman" w:ascii="Times New Roman" w:hAnsi="Times New Roman"/>
          <w:sz w:val="22"/>
        </w:rPr>
        <w:t xml:space="preserve">In the December 15 Order, the Commission held that the state of California is not entitled to control the composition of the entire ISO Board, finding that "[s]tate selection of all the board members is not a reasonable position in light of our prior determinations and the current procedures </w:t>
      </w:r>
      <w:r>
        <w:rPr>
          <w:rFonts w:cs="Times New Roman" w:ascii="Times New Roman" w:hAnsi="Times New Roman"/>
          <w:i/>
          <w:sz w:val="22"/>
        </w:rPr>
        <w:t>which only allow the state to veto approximately half of the prospective candidates</w:t>
      </w:r>
      <w:r>
        <w:rPr>
          <w:rFonts w:cs="Times New Roman" w:ascii="Times New Roman" w:hAnsi="Times New Roman"/>
          <w:sz w:val="22"/>
        </w:rPr>
        <w:t xml:space="preserve">."  93 FERC at 62,013 (emphasis added).   The Commission further held that the CAISO should be governed by a non-stakeholder board consisting of seven members.  </w:t>
      </w:r>
      <w:r>
        <w:rPr>
          <w:rFonts w:cs="Times New Roman" w:ascii="Times New Roman" w:hAnsi="Times New Roman"/>
          <w:i/>
          <w:sz w:val="22"/>
        </w:rPr>
        <w:t>Id</w:t>
      </w:r>
      <w:r>
        <w:rPr>
          <w:rFonts w:cs="Times New Roman" w:ascii="Times New Roman" w:hAnsi="Times New Roman"/>
          <w:sz w:val="22"/>
        </w:rPr>
        <w:t>.</w:t>
      </w:r>
    </w:p>
  </w:footnote>
  <w:footnote w:id="14">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rPr>
        <w:t xml:space="preserve">In the </w:t>
      </w:r>
      <w:r>
        <w:rPr>
          <w:rFonts w:cs="Times New Roman" w:ascii="Times New Roman" w:hAnsi="Times New Roman"/>
          <w:i/>
          <w:sz w:val="22"/>
        </w:rPr>
        <w:t>December 15 Order</w:t>
      </w:r>
      <w:r>
        <w:rPr>
          <w:rFonts w:cs="Times New Roman" w:ascii="Times New Roman" w:hAnsi="Times New Roman"/>
          <w:sz w:val="22"/>
        </w:rPr>
        <w:t xml:space="preserve">, 93 FERC at 62,013, the Commission held that the ISO  Governing Board must be independent of market participants.  The state of California is hardly independent of the market.  To the contrary, its agency, the California Department of Water Resources, is today the primary purchaser of wholesale electricity in California. </w:t>
      </w:r>
    </w:p>
  </w:footnote>
  <w:footnote w:id="15">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sz w:val="22"/>
        </w:rPr>
        <w:t xml:space="preserve">This EOB is equally without the objectivity necessary to conduct such an investigation.  Indeed, the Commission has held that the EOB should play no role in regulating FERC-jurisdictional wholesale markets precisely because it is a state agency.  </w:t>
      </w:r>
      <w:r>
        <w:rPr>
          <w:rFonts w:cs="Times New Roman" w:ascii="Times New Roman" w:hAnsi="Times New Roman"/>
          <w:i/>
          <w:sz w:val="22"/>
        </w:rPr>
        <w:t>Pacific Gas and Electric Co., et al.</w:t>
      </w:r>
      <w:r>
        <w:rPr>
          <w:rFonts w:cs="Times New Roman" w:ascii="Times New Roman" w:hAnsi="Times New Roman"/>
          <w:sz w:val="22"/>
        </w:rPr>
        <w:t xml:space="preserve">, 77 FERC </w:t>
      </w:r>
      <w:r>
        <w:rPr>
          <w:rFonts w:cs="WP TypographicSymbols" w:ascii="WP TypographicSymbols" w:hAnsi="WP TypographicSymbols"/>
          <w:sz w:val="22"/>
        </w:rPr>
        <w:t>&amp;</w:t>
      </w:r>
      <w:r>
        <w:rPr>
          <w:rFonts w:cs="Times New Roman" w:ascii="Times New Roman" w:hAnsi="Times New Roman"/>
          <w:sz w:val="22"/>
        </w:rPr>
        <w:t xml:space="preserve"> 61,204 at 61,817-18 (1996), </w:t>
      </w:r>
      <w:r>
        <w:rPr>
          <w:rFonts w:cs="Times New Roman" w:ascii="Times New Roman" w:hAnsi="Times New Roman"/>
          <w:i/>
          <w:sz w:val="22"/>
        </w:rPr>
        <w:t>aff'd, Pacific Gas and Electric Co.</w:t>
      </w:r>
      <w:r>
        <w:rPr>
          <w:rFonts w:cs="Times New Roman" w:ascii="Times New Roman" w:hAnsi="Times New Roman"/>
          <w:sz w:val="22"/>
        </w:rPr>
        <w:t xml:space="preserve">, 81 FERC </w:t>
      </w:r>
      <w:r>
        <w:rPr>
          <w:rFonts w:cs="WP TypographicSymbols" w:ascii="WP TypographicSymbols" w:hAnsi="WP TypographicSymbols"/>
          <w:sz w:val="22"/>
        </w:rPr>
        <w:t>&amp;</w:t>
      </w:r>
      <w:r>
        <w:rPr>
          <w:rFonts w:cs="Times New Roman" w:ascii="Times New Roman" w:hAnsi="Times New Roman"/>
          <w:sz w:val="22"/>
        </w:rPr>
        <w:t xml:space="preserve"> 61,122 (1997), </w:t>
      </w:r>
      <w:r>
        <w:rPr>
          <w:rFonts w:cs="Times New Roman" w:ascii="Times New Roman" w:hAnsi="Times New Roman"/>
          <w:i/>
          <w:sz w:val="22"/>
        </w:rPr>
        <w:t>motion for stay denied</w:t>
      </w:r>
      <w:r>
        <w:rPr>
          <w:rFonts w:cs="Times New Roman" w:ascii="Times New Roman" w:hAnsi="Times New Roman"/>
          <w:sz w:val="22"/>
        </w:rPr>
        <w:t xml:space="preserve">, </w:t>
      </w:r>
      <w:r>
        <w:rPr>
          <w:rFonts w:cs="Times New Roman" w:ascii="Times New Roman" w:hAnsi="Times New Roman"/>
          <w:i/>
          <w:sz w:val="22"/>
        </w:rPr>
        <w:t>Pacific Gas and Electric Co.</w:t>
      </w:r>
      <w:r>
        <w:rPr>
          <w:rFonts w:cs="Times New Roman" w:ascii="Times New Roman" w:hAnsi="Times New Roman"/>
          <w:sz w:val="22"/>
        </w:rPr>
        <w:t xml:space="preserve">, 82 FERC </w:t>
      </w:r>
      <w:r>
        <w:rPr>
          <w:rFonts w:cs="WP TypographicSymbols" w:ascii="WP TypographicSymbols" w:hAnsi="WP TypographicSymbols"/>
          <w:sz w:val="22"/>
        </w:rPr>
        <w:t>&amp;</w:t>
      </w:r>
      <w:r>
        <w:rPr>
          <w:rFonts w:cs="Times New Roman" w:ascii="Times New Roman" w:hAnsi="Times New Roman"/>
          <w:sz w:val="22"/>
        </w:rPr>
        <w:t xml:space="preserve"> 61,223 (1998).  The Commission later issued a series of orders that allowed the EOB to participate in certain aspects of ISO governance, but contended that  that allowance was limited to matters affecting state regulatory matters and was based on other considerations not applicable here.  </w:t>
      </w:r>
      <w:r>
        <w:rPr>
          <w:rFonts w:cs="Times New Roman" w:ascii="Times New Roman" w:hAnsi="Times New Roman"/>
          <w:i/>
          <w:sz w:val="22"/>
        </w:rPr>
        <w:t>California Electricity Oversight Board</w:t>
      </w:r>
      <w:r>
        <w:rPr>
          <w:rFonts w:cs="Times New Roman" w:ascii="Times New Roman" w:hAnsi="Times New Roman"/>
          <w:sz w:val="22"/>
        </w:rPr>
        <w:t xml:space="preserve">, 88 FERC </w:t>
      </w:r>
      <w:r>
        <w:rPr>
          <w:rFonts w:cs="WP TypographicSymbols" w:ascii="WP TypographicSymbols" w:hAnsi="WP TypographicSymbols"/>
          <w:sz w:val="22"/>
        </w:rPr>
        <w:t>&amp;</w:t>
      </w:r>
      <w:r>
        <w:rPr>
          <w:rFonts w:cs="Times New Roman" w:ascii="Times New Roman" w:hAnsi="Times New Roman"/>
          <w:sz w:val="22"/>
        </w:rPr>
        <w:t xml:space="preserve"> 61,172, </w:t>
      </w:r>
      <w:r>
        <w:rPr>
          <w:rFonts w:cs="Times New Roman" w:ascii="Times New Roman" w:hAnsi="Times New Roman"/>
          <w:i/>
          <w:sz w:val="22"/>
        </w:rPr>
        <w:t>aff'd, California Electricity Oversight Board</w:t>
      </w:r>
      <w:r>
        <w:rPr>
          <w:rFonts w:cs="Times New Roman" w:ascii="Times New Roman" w:hAnsi="Times New Roman"/>
          <w:sz w:val="22"/>
        </w:rPr>
        <w:t xml:space="preserve">, 89 FERC </w:t>
      </w:r>
      <w:r>
        <w:rPr>
          <w:rFonts w:cs="WP TypographicSymbols" w:ascii="WP TypographicSymbols" w:hAnsi="WP TypographicSymbols"/>
          <w:sz w:val="22"/>
        </w:rPr>
        <w:t>&amp;</w:t>
      </w:r>
      <w:r>
        <w:rPr>
          <w:rFonts w:cs="Times New Roman" w:ascii="Times New Roman" w:hAnsi="Times New Roman"/>
          <w:sz w:val="22"/>
        </w:rPr>
        <w:t> 61,134 (1999)</w:t>
      </w:r>
      <w:r>
        <w:rPr>
          <w:rFonts w:cs="Times New Roman" w:ascii="Times New Roman" w:hAnsi="Times New Roman"/>
          <w:i/>
          <w:sz w:val="22"/>
        </w:rPr>
        <w:t>,</w:t>
      </w:r>
      <w:r>
        <w:rPr>
          <w:rFonts w:cs="Times New Roman" w:ascii="Times New Roman" w:hAnsi="Times New Roman"/>
          <w:sz w:val="22"/>
        </w:rPr>
        <w:t xml:space="preserve"> </w:t>
      </w:r>
      <w:r>
        <w:rPr>
          <w:rFonts w:cs="Times New Roman" w:ascii="Times New Roman" w:hAnsi="Times New Roman"/>
          <w:i/>
          <w:sz w:val="22"/>
        </w:rPr>
        <w:t>appeal pending sub nom. Western Power Trading Forum, et al., v. FERC</w:t>
      </w:r>
      <w:r>
        <w:rPr>
          <w:rFonts w:cs="Times New Roman" w:ascii="Times New Roman" w:hAnsi="Times New Roman"/>
          <w:sz w:val="22"/>
        </w:rPr>
        <w:t xml:space="preserve"> No. 99-1532 (D.C. Cir.) (oral argument held January 26, 2001).</w:t>
      </w:r>
    </w:p>
  </w:footnote>
  <w:footnote w:id="16">
    <w:p>
      <w:pPr>
        <w:pStyle w:val="Normal"/>
        <w:spacing w:before="0" w:after="240"/>
        <w:ind w:firstLine="720" w:end="0"/>
        <w:jc w:val="both"/>
        <w:rPr/>
      </w:pPr>
      <w:r>
        <w:rPr>
          <w:rStyle w:val="FootnoteCharacters"/>
        </w:rPr>
        <w:footnoteRef/>
      </w:r>
      <w:r>
        <w:rPr>
          <w:rFonts w:cs="Times New Roman" w:ascii="Times New Roman" w:hAnsi="Times New Roman"/>
          <w:sz w:val="22"/>
        </w:rPr>
        <w:t xml:space="preserve"> </w:t>
      </w:r>
      <w:r>
        <w:rPr>
          <w:rFonts w:cs="Times New Roman" w:ascii="Times New Roman" w:hAnsi="Times New Roman"/>
          <w:sz w:val="22"/>
        </w:rPr>
        <w:t xml:space="preserve">"The filed rate doctrine  is not limited to 'rates' </w:t>
      </w:r>
      <w:r>
        <w:rPr>
          <w:rFonts w:cs="Times New Roman" w:ascii="Times New Roman" w:hAnsi="Times New Roman"/>
          <w:i/>
          <w:sz w:val="22"/>
        </w:rPr>
        <w:t>per se</w:t>
      </w:r>
      <w:r>
        <w:rPr>
          <w:rFonts w:cs="Times New Roman" w:ascii="Times New Roman" w:hAnsi="Times New Roman"/>
          <w:sz w:val="22"/>
        </w:rPr>
        <w:t xml:space="preserve">" and thus is applicable to issues surrounding non-rate terms and conditions of a public utility's tariff.  </w:t>
      </w:r>
      <w:r>
        <w:rPr>
          <w:rFonts w:cs="Times New Roman" w:ascii="Times New Roman" w:hAnsi="Times New Roman"/>
          <w:i/>
          <w:sz w:val="22"/>
        </w:rPr>
        <w:t>See Nantahala</w:t>
      </w:r>
      <w:r>
        <w:rPr>
          <w:rFonts w:cs="Times New Roman" w:ascii="Times New Roman" w:hAnsi="Times New Roman"/>
          <w:sz w:val="22"/>
        </w:rPr>
        <w:t xml:space="preserve"> </w:t>
      </w:r>
      <w:r>
        <w:rPr>
          <w:rFonts w:cs="Times New Roman" w:ascii="Times New Roman" w:hAnsi="Times New Roman"/>
          <w:i/>
          <w:sz w:val="22"/>
        </w:rPr>
        <w:t>Power and Light v. Thornburg</w:t>
      </w:r>
      <w:r>
        <w:rPr>
          <w:rFonts w:cs="Times New Roman" w:ascii="Times New Roman" w:hAnsi="Times New Roman"/>
          <w:sz w:val="22"/>
        </w:rPr>
        <w:t>, 476 U.S. 953, 966-67 (1986).</w:t>
      </w:r>
    </w:p>
  </w:footnote>
  <w:footnote w:id="17">
    <w:p>
      <w:pPr>
        <w:pStyle w:val="Normal"/>
        <w:spacing w:before="0" w:after="240"/>
        <w:ind w:firstLine="720" w:end="0"/>
        <w:jc w:val="both"/>
        <w:rPr/>
      </w:pPr>
      <w:r>
        <w:rPr>
          <w:rStyle w:val="FootnoteCharacters"/>
        </w:rPr>
        <w:footnoteRef/>
      </w:r>
      <w:r>
        <w:rPr>
          <w:rFonts w:cs="Times New Roman" w:ascii="Times New Roman" w:hAnsi="Times New Roman"/>
          <w:sz w:val="22"/>
        </w:rPr>
        <w:t xml:space="preserve"> </w:t>
      </w:r>
      <w:r>
        <w:rPr>
          <w:rFonts w:cs="Times New Roman" w:ascii="Times New Roman" w:hAnsi="Times New Roman"/>
          <w:sz w:val="22"/>
        </w:rPr>
        <w:t>While MMIP 2.1.1.1 through MMIP 2.1.1.5 provides certain examples of such behavior, this listing is intended to be illustrative, not all-inclusive.</w:t>
      </w:r>
    </w:p>
  </w:footnote>
  <w:footnote w:id="18">
    <w:p>
      <w:pPr>
        <w:pStyle w:val="Normal"/>
        <w:spacing w:before="0" w:after="240"/>
        <w:ind w:firstLine="720" w:end="0"/>
        <w:jc w:val="both"/>
        <w:rPr/>
      </w:pPr>
      <w:r>
        <w:rPr>
          <w:rStyle w:val="FootnoteCharacters"/>
        </w:rPr>
        <w:footnoteRef/>
      </w:r>
      <w:r>
        <w:rPr>
          <w:rFonts w:cs="Times New Roman" w:ascii="Times New Roman" w:hAnsi="Times New Roman"/>
        </w:rPr>
        <w:t xml:space="preserve"> </w:t>
      </w:r>
      <w:r>
        <w:rPr>
          <w:rFonts w:cs="Times New Roman" w:ascii="Times New Roman" w:hAnsi="Times New Roman"/>
          <w:sz w:val="22"/>
        </w:rPr>
        <w:t xml:space="preserve">Sections 2.1.1 is additionally infirm because it enables the ISO to issues findings of wrongdoing before an appeal of those findings to the Commission can be made.  This enables the ISO to impose sanctions and penalties for market behavior that (i) the Commission might not find to be improper, (ii) which may not be clearly identified in the tariff, or (iii) which may involve technical violations that the Commission does not believe to be sanctionable.  Under similar circumstances, the Commission, in </w:t>
      </w:r>
      <w:r>
        <w:rPr>
          <w:rFonts w:cs="Times New Roman" w:ascii="Times New Roman" w:hAnsi="Times New Roman"/>
          <w:i/>
          <w:sz w:val="22"/>
        </w:rPr>
        <w:t>NYISO</w:t>
      </w:r>
      <w:r>
        <w:rPr>
          <w:rFonts w:cs="Times New Roman" w:ascii="Times New Roman" w:hAnsi="Times New Roman"/>
          <w:sz w:val="22"/>
        </w:rPr>
        <w:t>, 89 FERC at 61,605, found that the NYISO's market monitoring provisions were flawed.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6"/>
        <w:i/>
        <w:b/>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character" w:styleId="WW8Num1z0">
    <w:name w:val="WW8Num1z0"/>
    <w:qFormat/>
    <w:rPr>
      <w:rFonts w:ascii="Times New Roman" w:hAnsi="Times New Roman" w:cs="Times New Roman"/>
      <w:b/>
      <w:i/>
      <w:sz w:val="26"/>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2001-03-16T14:50:00Z</dcterms:created>
  <dc:creator>Bracewell &amp; Patterson</dc:creator>
  <dc:description/>
  <dc:language>en-CA</dc:language>
  <cp:lastModifiedBy>Bracewell &amp; Patterson</cp:lastModifiedBy>
  <dcterms:modified xsi:type="dcterms:W3CDTF">2001-03-16T14:50:00Z</dcterms:modified>
  <cp:revision>2</cp:revision>
  <dc:subject/>
  <dc:title/>
</cp:coreProperties>
</file>