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50" w:type="dxa"/>
        <w:jc w:val="start"/>
        <w:tblInd w:w="-432" w:type="dxa"/>
        <w:tblLayout w:type="fixed"/>
        <w:tblCellMar>
          <w:top w:w="0" w:type="dxa"/>
          <w:start w:w="108" w:type="dxa"/>
          <w:bottom w:w="0" w:type="dxa"/>
          <w:end w:w="108" w:type="dxa"/>
        </w:tblCellMar>
      </w:tblPr>
      <w:tblGrid>
        <w:gridCol w:w="450"/>
        <w:gridCol w:w="1800"/>
        <w:gridCol w:w="4680"/>
        <w:gridCol w:w="1170"/>
        <w:gridCol w:w="1800"/>
        <w:gridCol w:w="450"/>
      </w:tblGrid>
      <w:tr>
        <w:trPr>
          <w:trHeight w:val="1440" w:hRule="exact"/>
        </w:trPr>
        <w:tc>
          <w:tcPr>
            <w:tcW w:w="2250" w:type="dxa"/>
            <w:gridSpan w:val="2"/>
            <w:vMerge w:val="restart"/>
            <w:tcBorders/>
          </w:tcPr>
          <w:p>
            <w:pPr>
              <w:pStyle w:val="Normal"/>
              <w:snapToGrid w:val="false"/>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3">
                      <wp:simplePos x="0" y="0"/>
                      <wp:positionH relativeFrom="margin">
                        <wp:posOffset>-365760</wp:posOffset>
                      </wp:positionH>
                      <wp:positionV relativeFrom="paragraph">
                        <wp:posOffset>-12065</wp:posOffset>
                      </wp:positionV>
                      <wp:extent cx="1089660" cy="1089660"/>
                      <wp:effectExtent l="0" t="0" r="0" b="0"/>
                      <wp:wrapNone/>
                      <wp:docPr id="1" name="Frame1"/>
                      <a:graphic xmlns:a="http://schemas.openxmlformats.org/drawingml/2006/main">
                        <a:graphicData uri="http://schemas.microsoft.com/office/word/2010/wordprocessingShape">
                          <wps:wsp>
                            <wps:cNvSpPr txBox="1"/>
                            <wps:spPr>
                              <a:xfrm>
                                <a:off x="0" y="0"/>
                                <a:ext cx="1089660" cy="1089660"/>
                              </a:xfrm>
                              <a:prstGeom prst="rect"/>
                              <a:solidFill>
                                <a:srgbClr val="FFFFFF">
                                  <a:alpha val="0"/>
                                </a:srgbClr>
                              </a:solidFill>
                            </wps:spPr>
                            <wps:txbx>
                              <w:txbxContent>
                                <w:p>
                                  <w:pPr>
                                    <w:pStyle w:val="Normal"/>
                                    <w:rPr/>
                                  </w:pPr>
                                  <w:r>
                                    <w:rPr/>
                                    <w:drawing>
                                      <wp:inline distT="0" distB="0" distL="0" distR="0">
                                        <wp:extent cx="1064895" cy="10661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7476" t="32874" r="27476" b="32419"/>
                                                <a:stretch>
                                                  <a:fillRect/>
                                                </a:stretch>
                                              </pic:blipFill>
                                              <pic:spPr bwMode="auto">
                                                <a:xfrm>
                                                  <a:off x="0" y="0"/>
                                                  <a:ext cx="1064895" cy="1066165"/>
                                                </a:xfrm>
                                                <a:prstGeom prst="rect">
                                                  <a:avLst/>
                                                </a:prstGeom>
                                                <a:noFill/>
                                              </pic:spPr>
                                            </pic:pic>
                                          </a:graphicData>
                                        </a:graphic>
                                      </wp:inline>
                                    </w:drawing>
                                  </w:r>
                                </w:p>
                              </w:txbxContent>
                            </wps:txbx>
                            <wps:bodyPr anchor="t" lIns="13335" tIns="13335" rIns="13335" bIns="13335">
                              <a:noAutofit/>
                            </wps:bodyPr>
                          </wps:wsp>
                        </a:graphicData>
                      </a:graphic>
                    </wp:anchor>
                  </w:drawing>
                </mc:Choice>
                <mc:Fallback>
                  <w:pict>
                    <v:rect fillcolor="#FFFFFF" style="position:absolute;rotation:-0;width:85.8pt;height:85.8pt;mso-wrap-distance-left:9.05pt;mso-wrap-distance-right:9.05pt;mso-wrap-distance-top:0pt;mso-wrap-distance-bottom:0pt;margin-top:-0.95pt;mso-position-vertical-relative:text;margin-left:-28.8pt;mso-position-horizontal-relative:margin">
                      <v:fill opacity="0f"/>
                      <v:textbox inset="0.0145833333333333in,0.0145833333333333in,0.0145833333333333in,0.0145833333333333in">
                        <w:txbxContent>
                          <w:p>
                            <w:pPr>
                              <w:pStyle w:val="Normal"/>
                              <w:rPr/>
                            </w:pPr>
                            <w:r>
                              <w:rPr/>
                              <w:drawing>
                                <wp:inline distT="0" distB="0" distL="0" distR="0">
                                  <wp:extent cx="1064895" cy="10661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7476" t="32874" r="27476" b="32419"/>
                                          <a:stretch>
                                            <a:fillRect/>
                                          </a:stretch>
                                        </pic:blipFill>
                                        <pic:spPr bwMode="auto">
                                          <a:xfrm>
                                            <a:off x="0" y="0"/>
                                            <a:ext cx="1064895" cy="1066165"/>
                                          </a:xfrm>
                                          <a:prstGeom prst="rect">
                                            <a:avLst/>
                                          </a:prstGeom>
                                          <a:noFill/>
                                        </pic:spPr>
                                      </pic:pic>
                                    </a:graphicData>
                                  </a:graphic>
                                </wp:inline>
                              </w:drawing>
                            </w:r>
                          </w:p>
                        </w:txbxContent>
                      </v:textbox>
                      <w10:wrap type="none"/>
                    </v:rect>
                  </w:pict>
                </mc:Fallback>
              </mc:AlternateContent>
            </w:r>
          </w:p>
        </w:tc>
        <w:tc>
          <w:tcPr>
            <w:tcW w:w="5850" w:type="dxa"/>
            <w:gridSpan w:val="2"/>
            <w:tcBorders/>
          </w:tcPr>
          <w:p>
            <w:pPr>
              <w:pStyle w:val="Heading2"/>
              <w:ind w:hanging="0" w:start="0"/>
              <w:rPr>
                <w:color w:val="000000"/>
              </w:rPr>
            </w:pPr>
            <w:r>
              <w:rPr>
                <w:color w:val="000000"/>
              </w:rPr>
              <w:t>Department of Energy</w:t>
            </w:r>
          </w:p>
          <w:p>
            <w:pPr>
              <w:pStyle w:val="Normal"/>
              <w:rPr>
                <w:color w:val="000000"/>
                <w:sz w:val="20"/>
              </w:rPr>
            </w:pPr>
            <w:r>
              <w:rPr>
                <w:color w:val="000000"/>
                <w:sz w:val="20"/>
              </w:rPr>
            </w:r>
          </w:p>
          <w:p>
            <w:pPr>
              <w:pStyle w:val="Normal"/>
              <w:jc w:val="center"/>
              <w:rPr>
                <w:sz w:val="20"/>
              </w:rPr>
            </w:pPr>
            <w:r>
              <w:rPr>
                <w:sz w:val="20"/>
              </w:rPr>
              <w:t>Bonneville Power Administration</w:t>
            </w:r>
          </w:p>
          <w:p>
            <w:pPr>
              <w:pStyle w:val="Normal"/>
              <w:jc w:val="center"/>
              <w:rPr>
                <w:sz w:val="20"/>
              </w:rPr>
            </w:pPr>
            <w:r>
              <w:rPr>
                <w:sz w:val="20"/>
              </w:rPr>
              <w:t>P.O. Box 491</w:t>
            </w:r>
          </w:p>
          <w:p>
            <w:pPr>
              <w:pStyle w:val="Normal"/>
              <w:jc w:val="center"/>
              <w:rPr>
                <w:sz w:val="20"/>
              </w:rPr>
            </w:pPr>
            <w:r>
              <w:rPr>
                <w:sz w:val="20"/>
              </w:rPr>
              <w:t>Vancouver, Washington  98666-0491</w:t>
            </w:r>
          </w:p>
        </w:tc>
        <w:tc>
          <w:tcPr>
            <w:tcW w:w="2250" w:type="dxa"/>
            <w:gridSpan w:val="2"/>
            <w:tcBorders/>
          </w:tcPr>
          <w:p>
            <w:pPr>
              <w:pStyle w:val="Normal"/>
              <w:rPr>
                <w:rFonts w:ascii="Times New Roman" w:hAnsi="Times New Roman" w:cs="Times New Roman"/>
              </w:rPr>
            </w:pPr>
            <w:r>
              <w:fldChar w:fldCharType="begin">
                <w:ffData>
                  <w:name w:val="Dropdown1"/>
                  <w:enabled/>
                  <w:ddList>
                    <w:result w:val="0"/>
                    <w:listEntry w:val="                         "/>
                    <w:listEntry w:val="Official File Copy"/>
                    <w:listEntry w:val="Reading File Copy"/>
                  </w:ddList>
                </w:ffData>
              </w:fldChar>
            </w:r>
            <w:r>
              <w:rPr>
                <w:rFonts w:cs="Times New Roman" w:ascii="Times New Roman" w:hAnsi="Times New Roman"/>
                <w:lang w:val="en-CA" w:eastAsia="en-CA"/>
              </w:rPr>
              <w:instrText xml:space="preserve"> FORMDROPDOWN </w:instrText>
            </w:r>
            <w:r>
              <w:rPr>
                <w:rFonts w:cs="Times New Roman" w:ascii="Times New Roman" w:hAnsi="Times New Roman"/>
                <w:lang w:val="en-CA" w:eastAsia="en-CA"/>
              </w:rPr>
              <w:fldChar w:fldCharType="separate"/>
            </w:r>
            <w:bookmarkStart w:id="0" w:name="Dropdown1"/>
            <w:bookmarkStart w:id="1" w:name="Dropdown1"/>
            <w:bookmarkEnd w:id="1"/>
            <w:r/>
            <w:r>
              <w:rPr>
                <w:rFonts w:cs="Times New Roman" w:ascii="Times New Roman" w:hAnsi="Times New Roman"/>
                <w:lang w:val="en-CA" w:eastAsia="en-CA"/>
              </w:rPr>
              <w:fldChar w:fldCharType="end"/>
            </w:r>
            <w:r>
              <w:rPr>
                <w:rFonts w:cs="Times New Roman" w:ascii="Times New Roman" w:hAnsi="Times New Roman"/>
                <w:lang w:val="en-CA" w:eastAsia="en-CA"/>
              </w:rPr>
            </w:r>
          </w:p>
        </w:tc>
      </w:tr>
      <w:tr>
        <w:trPr>
          <w:trHeight w:val="600" w:hRule="exact"/>
        </w:trPr>
        <w:tc>
          <w:tcPr>
            <w:tcW w:w="2250" w:type="dxa"/>
            <w:gridSpan w:val="2"/>
            <w:vMerge w:val="continue"/>
            <w:tcBorders/>
          </w:tcPr>
          <w:p>
            <w:pPr>
              <w:pStyle w:val="Normal"/>
              <w:snapToGrid w:val="false"/>
              <w:rPr>
                <w:rFonts w:ascii="Times New Roman" w:hAnsi="Times New Roman" w:cs="Times New Roman"/>
              </w:rPr>
            </w:pPr>
            <w:r>
              <w:rPr>
                <w:rFonts w:cs="Times New Roman" w:ascii="Times New Roman" w:hAnsi="Times New Roman"/>
              </w:rPr>
            </w:r>
          </w:p>
        </w:tc>
        <w:tc>
          <w:tcPr>
            <w:tcW w:w="4680" w:type="dxa"/>
            <w:tcBorders/>
          </w:tcPr>
          <w:p>
            <w:pPr>
              <w:pStyle w:val="Normal"/>
              <w:snapToGrid w:val="false"/>
              <w:rPr>
                <w:rFonts w:ascii="Times New Roman" w:hAnsi="Times New Roman" w:cs="Times New Roman"/>
              </w:rPr>
            </w:pPr>
            <w:r>
              <w:rPr>
                <w:rFonts w:cs="Times New Roman" w:ascii="Times New Roman" w:hAnsi="Times New Roman"/>
              </w:rPr>
            </w:r>
          </w:p>
        </w:tc>
        <w:tc>
          <w:tcPr>
            <w:tcW w:w="3420" w:type="dxa"/>
            <w:gridSpan w:val="3"/>
            <w:tcBorders/>
          </w:tcPr>
          <w:p>
            <w:pPr>
              <w:pStyle w:val="Normal"/>
              <w:rPr>
                <w:rFonts w:ascii="Times New Roman" w:hAnsi="Times New Roman" w:cs="Times New Roman"/>
              </w:rPr>
            </w:pPr>
            <w:r>
              <w:fldChar w:fldCharType="begin">
                <w:ffData>
                  <w:name w:val="Dropdown2"/>
                  <w:enabled/>
                  <w:ddList>
                    <w:result w:val="3"/>
                    <w:listEntry w:val="                          "/>
                    <w:listEntry w:val="POWER BUSINESS LINE"/>
                    <w:listEntry w:val="SHARED SERVICES"/>
                    <w:listEntry w:val="TRANSMISSION BUSINESS LINE"/>
                  </w:ddList>
                </w:ffData>
              </w:fldChar>
            </w:r>
            <w:r>
              <w:rPr>
                <w:rFonts w:cs="Times New Roman" w:ascii="Times New Roman" w:hAnsi="Times New Roman"/>
              </w:rPr>
              <w:instrText xml:space="preserve"> FORMDROPDOWN </w:instrText>
            </w:r>
            <w:r>
              <w:rPr>
                <w:rFonts w:cs="Times New Roman" w:ascii="Times New Roman" w:hAnsi="Times New Roman"/>
              </w:rPr>
              <w:fldChar w:fldCharType="separate"/>
            </w:r>
            <w:bookmarkStart w:id="2" w:name="Dropdown2"/>
            <w:bookmarkStart w:id="3" w:name="Dropdown2"/>
            <w:bookmarkEnd w:id="3"/>
            <w:r/>
            <w:r>
              <w:rPr>
                <w:rFonts w:cs="Times New Roman" w:ascii="Times New Roman" w:hAnsi="Times New Roman"/>
              </w:rPr>
              <w:fldChar w:fldCharType="end"/>
            </w:r>
            <w:r>
              <w:rPr>
                <w:rFonts w:cs="Times New Roman" w:ascii="Times New Roman" w:hAnsi="Times New Roman"/>
              </w:rPr>
            </w:r>
          </w:p>
        </w:tc>
      </w:tr>
      <w:tr>
        <w:trPr/>
        <w:tc>
          <w:tcPr>
            <w:tcW w:w="450" w:type="dxa"/>
            <w:tcBorders/>
            <w:tcMar>
              <w:start w:w="0" w:type="dxa"/>
              <w:end w:w="0" w:type="dxa"/>
            </w:tcMar>
          </w:tcPr>
          <w:p>
            <w:pPr>
              <w:pStyle w:val="Normal"/>
              <w:rPr>
                <w:rFonts w:ascii="Times New Roman" w:hAnsi="Times New Roman" w:cs="Times New Roman"/>
              </w:rPr>
            </w:pPr>
            <w:r>
              <w:rPr>
                <w:rFonts w:cs="Times New Roman" w:ascii="Times New Roman" w:hAnsi="Times New Roman"/>
              </w:rPr>
            </w:r>
          </w:p>
        </w:tc>
        <w:tc>
          <w:tcPr>
            <w:tcW w:w="9450" w:type="dxa"/>
            <w:gridSpan w:val="4"/>
            <w:tcBorders/>
          </w:tcPr>
          <w:p>
            <w:pPr>
              <w:pStyle w:val="Normal"/>
              <w:rPr>
                <w:rFonts w:ascii="Times New Roman" w:hAnsi="Times New Roman" w:cs="Times New Roman"/>
                <w:sz w:val="22"/>
              </w:rPr>
            </w:pPr>
            <w:r>
              <w:fldChar w:fldCharType="begin">
                <w:ffData>
                  <w:name w:val="Text1"/>
                  <w:enabled/>
                  <w:calcOnExit w:val="0"/>
                  <w:textInput/>
                </w:ffData>
              </w:fldChar>
            </w:r>
            <w:r>
              <w:rPr>
                <w:sz w:val="22"/>
                <w:rFonts w:cs="Times New Roman" w:ascii="Times New Roman" w:hAnsi="Times New Roman"/>
              </w:rPr>
              <w:instrText xml:space="preserve"> FORMTEXT </w:instrText>
            </w:r>
            <w:r>
              <w:rPr>
                <w:rFonts w:cs="Times New Roman" w:ascii="Times New Roman" w:hAnsi="Times New Roman"/>
                <w:sz w:val="22"/>
              </w:rPr>
            </w:r>
            <w:r>
              <w:rPr>
                <w:sz w:val="22"/>
                <w:rFonts w:cs="Times New Roman" w:ascii="Times New Roman" w:hAnsi="Times New Roman"/>
              </w:rPr>
              <w:fldChar w:fldCharType="separate"/>
            </w:r>
            <w:r>
              <w:rPr>
                <w:rFonts w:cs="Times New Roman" w:ascii="Times New Roman" w:hAnsi="Times New Roman"/>
                <w:sz w:val="22"/>
              </w:rPr>
              <w:t>Februa</w:t>
            </w:r>
            <w:r>
              <w:rPr>
                <w:rFonts w:cs="Times New Roman" w:ascii="Times New Roman" w:hAnsi="Times New Roman"/>
                <w:sz w:val="22"/>
                <w:lang w:val="en-CA" w:eastAsia="en-CA"/>
              </w:rPr>
              <w:t xml:space="preserve">ry 4, 2002 </w:t>
            </w:r>
            <w:r/>
            <w:r>
              <w:rPr>
                <w:sz w:val="22"/>
                <w:rFonts w:cs="Times New Roman" w:ascii="Times New Roman" w:hAnsi="Times New Roman"/>
                <w:lang w:val="en-CA" w:eastAsia="en-CA"/>
              </w:rPr>
              <w:fldChar w:fldCharType="end"/>
            </w:r>
            <w:r>
              <w:rPr>
                <w:rFonts w:cs="Times New Roman" w:ascii="Times New Roman" w:hAnsi="Times New Roman"/>
                <w:sz w:val="22"/>
                <w:lang w:val="en-CA" w:eastAsia="en-CA"/>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sz w:val="24"/>
              </w:rPr>
            </w:pPr>
            <w:r>
              <w:rPr>
                <w:rFonts w:cs="Times New Roman" w:ascii="Times New Roman" w:hAnsi="Times New Roman"/>
                <w:sz w:val="22"/>
              </w:rPr>
              <w:t xml:space="preserve">In reply refer to:  </w:t>
            </w:r>
            <w:r>
              <w:fldChar w:fldCharType="begin">
                <w:ffData>
                  <w:name w:val="Text2"/>
                  <w:enabled/>
                  <w:calcOnExit w:val="0"/>
                  <w:textInput/>
                </w:ffData>
              </w:fldChar>
            </w:r>
            <w:r>
              <w:rPr>
                <w:sz w:val="22"/>
                <w:rFonts w:cs="Times New Roman" w:ascii="Times New Roman" w:hAnsi="Times New Roman"/>
                <w:lang w:val="en-CA" w:eastAsia="en-CA"/>
              </w:rPr>
              <w:instrText xml:space="preserve"> FORMTEXT </w:instrText>
            </w:r>
            <w:r>
              <w:rPr>
                <w:rFonts w:cs="Times New Roman" w:ascii="Times New Roman" w:hAnsi="Times New Roman"/>
                <w:sz w:val="22"/>
                <w:lang w:val="en-CA" w:eastAsia="en-CA"/>
              </w:rPr>
            </w:r>
            <w:r>
              <w:rPr>
                <w:sz w:val="22"/>
                <w:rFonts w:cs="Times New Roman" w:ascii="Times New Roman" w:hAnsi="Times New Roman"/>
                <w:lang w:val="en-CA" w:eastAsia="en-CA"/>
              </w:rPr>
              <w:fldChar w:fldCharType="separate"/>
            </w:r>
            <w:r>
              <w:rPr>
                <w:rFonts w:cs="Times New Roman" w:ascii="Times New Roman" w:hAnsi="Times New Roman"/>
                <w:sz w:val="22"/>
                <w:lang w:val="en-CA" w:eastAsia="en-CA"/>
              </w:rPr>
              <w:t>TM-Ditt2</w:t>
            </w:r>
            <w:r/>
            <w:r>
              <w:rPr>
                <w:sz w:val="22"/>
                <w:rFonts w:cs="Times New Roman" w:ascii="Times New Roman" w:hAnsi="Times New Roman"/>
                <w:lang w:val="en-CA" w:eastAsia="en-CA"/>
              </w:rPr>
              <w:fldChar w:fldCharType="end"/>
            </w:r>
            <w:r>
              <w:rPr>
                <w:rFonts w:cs="Times New Roman" w:ascii="Times New Roman" w:hAnsi="Times New Roman"/>
                <w:sz w:val="22"/>
                <w:lang w:val="en-CA" w:eastAsia="en-CA"/>
              </w:rPr>
            </w:r>
          </w:p>
          <w:p>
            <w:pPr>
              <w:pStyle w:val="Normal"/>
              <w:rPr>
                <w:rFonts w:ascii="Times New Roman" w:hAnsi="Times New Roman" w:cs="Times New Roman"/>
                <w:sz w:val="24"/>
              </w:rPr>
            </w:pPr>
            <w:r>
              <w:rPr>
                <w:rFonts w:cs="Times New Roman" w:ascii="Times New Roman" w:hAnsi="Times New Roman"/>
                <w:sz w:val="24"/>
              </w:rPr>
            </w:r>
          </w:p>
        </w:tc>
        <w:tc>
          <w:tcPr>
            <w:tcW w:w="450" w:type="dxa"/>
            <w:tcBorders/>
            <w:tcMar>
              <w:start w:w="0" w:type="dxa"/>
              <w:end w:w="0" w:type="dxa"/>
            </w:tcMar>
          </w:tcPr>
          <w:p>
            <w:pPr>
              <w:pStyle w:val="Normal"/>
              <w:snapToGrid w:val="false"/>
              <w:rPr>
                <w:rFonts w:ascii="Times New Roman" w:hAnsi="Times New Roman" w:cs="Times New Roman"/>
                <w:sz w:val="24"/>
              </w:rPr>
            </w:pPr>
            <w:r>
              <w:rPr>
                <w:rFonts w:cs="Times New Roman" w:ascii="Times New Roman" w:hAnsi="Times New Roman"/>
                <w:sz w:val="24"/>
              </w:rPr>
            </w:r>
          </w:p>
        </w:tc>
      </w:tr>
    </w:tbl>
    <w:p>
      <w:pPr>
        <w:sectPr>
          <w:headerReference w:type="default" r:id="rId4"/>
          <w:headerReference w:type="first" r:id="rId5"/>
          <w:type w:val="nextPage"/>
          <w:pgSz w:w="12240" w:h="15840"/>
          <w:pgMar w:left="1440" w:right="1440" w:gutter="0" w:header="1440" w:top="1496" w:footer="0" w:bottom="720"/>
          <w:pgNumType w:fmt="decimal"/>
          <w:formProt w:val="false"/>
          <w:titlePg/>
          <w:textDirection w:val="lrTb"/>
          <w:docGrid w:type="default" w:linePitch="360" w:charSpace="0"/>
        </w:sectPr>
      </w:pPr>
    </w:p>
    <w:p>
      <w:pPr>
        <w:pStyle w:val="Heading3"/>
        <w:tabs>
          <w:tab w:val="clear" w:pos="720"/>
          <w:tab w:val="left" w:pos="5220" w:leader="none"/>
        </w:tabs>
        <w:ind w:hanging="0" w:start="180" w:end="0"/>
        <w:rPr>
          <w:sz w:val="22"/>
        </w:rPr>
      </w:pPr>
      <w:r>
        <w:rPr>
          <w:sz w:val="22"/>
        </w:rPr>
        <w:t xml:space="preserve">Mr. Warren Clark, Avista Corporation </w:t>
        <w:tab/>
        <w:t>Mr. Jeff Schlect, Avista Corporation</w:t>
        <w:tab/>
      </w:r>
    </w:p>
    <w:p>
      <w:pPr>
        <w:pStyle w:val="Heading3"/>
        <w:tabs>
          <w:tab w:val="clear" w:pos="720"/>
          <w:tab w:val="left" w:pos="5220" w:leader="none"/>
        </w:tabs>
        <w:ind w:hanging="0" w:start="180" w:end="0"/>
        <w:rPr>
          <w:sz w:val="22"/>
        </w:rPr>
      </w:pPr>
      <w:r>
        <w:rPr>
          <w:sz w:val="22"/>
        </w:rPr>
        <w:t xml:space="preserve">Mr. Brent Guyer, Avista Energy </w:t>
        <w:tab/>
        <w:t>Mr. Andy Law, Avista Energy</w:t>
      </w:r>
    </w:p>
    <w:p>
      <w:pPr>
        <w:pStyle w:val="Heading3"/>
        <w:tabs>
          <w:tab w:val="clear" w:pos="720"/>
          <w:tab w:val="left" w:pos="5220" w:leader="none"/>
        </w:tabs>
        <w:ind w:hanging="0" w:start="180" w:end="0"/>
        <w:rPr>
          <w:sz w:val="22"/>
        </w:rPr>
      </w:pPr>
      <w:r>
        <w:rPr>
          <w:sz w:val="22"/>
        </w:rPr>
        <w:t>Mr. Nan Liu, BC Hydro</w:t>
        <w:tab/>
        <w:t>Ms. Margaret Pedersen, Bonneville Power Admin.</w:t>
      </w:r>
    </w:p>
    <w:p>
      <w:pPr>
        <w:pStyle w:val="Heading3"/>
        <w:tabs>
          <w:tab w:val="clear" w:pos="720"/>
          <w:tab w:val="left" w:pos="5220" w:leader="none"/>
        </w:tabs>
        <w:ind w:hanging="0" w:start="180" w:end="0"/>
        <w:rPr>
          <w:sz w:val="22"/>
        </w:rPr>
      </w:pPr>
      <w:r>
        <w:rPr>
          <w:sz w:val="22"/>
        </w:rPr>
        <w:t>Mr. Tom Haymaker, Duke Energy</w:t>
        <w:tab/>
        <w:t>Ms. Diana Scholtes, Enron</w:t>
      </w:r>
    </w:p>
    <w:p>
      <w:pPr>
        <w:pStyle w:val="Heading3"/>
        <w:tabs>
          <w:tab w:val="clear" w:pos="720"/>
          <w:tab w:val="left" w:pos="5220" w:leader="none"/>
        </w:tabs>
        <w:ind w:hanging="0" w:start="180" w:end="0"/>
        <w:rPr/>
      </w:pPr>
      <w:r>
        <w:rPr>
          <w:sz w:val="22"/>
        </w:rPr>
        <w:t>Mr. Joe Hoerner, Kaiser Aluminum &amp; Chemical Co.</w:t>
        <w:tab/>
        <w:t>Mr. Marc Donaldson, Montana Power Company</w:t>
      </w:r>
      <w:r>
        <w:rPr>
          <w:bCs w:val="false"/>
          <w:sz w:val="22"/>
        </w:rPr>
        <w:t xml:space="preserve"> </w:t>
      </w:r>
    </w:p>
    <w:p>
      <w:pPr>
        <w:pStyle w:val="Heading3"/>
        <w:tabs>
          <w:tab w:val="clear" w:pos="720"/>
          <w:tab w:val="left" w:pos="5220" w:leader="none"/>
        </w:tabs>
        <w:ind w:hanging="0" w:start="180" w:end="0"/>
        <w:rPr/>
      </w:pPr>
      <w:r>
        <w:rPr>
          <w:bCs w:val="false"/>
          <w:sz w:val="22"/>
        </w:rPr>
        <w:t>Mr. John Leland, Montana Power Company</w:t>
      </w:r>
      <w:r>
        <w:rPr>
          <w:sz w:val="22"/>
        </w:rPr>
        <w:tab/>
        <w:t>Ms. Deborah Martinez, Northwest Power Pool</w:t>
      </w:r>
    </w:p>
    <w:p>
      <w:pPr>
        <w:pStyle w:val="Heading3"/>
        <w:tabs>
          <w:tab w:val="clear" w:pos="720"/>
          <w:tab w:val="left" w:pos="5220" w:leader="none"/>
        </w:tabs>
        <w:ind w:hanging="0" w:start="180" w:end="0"/>
        <w:rPr>
          <w:sz w:val="22"/>
        </w:rPr>
      </w:pPr>
      <w:r>
        <w:rPr>
          <w:sz w:val="22"/>
        </w:rPr>
        <w:t>Mr. Dana Reedy, Northwest Power Pool</w:t>
        <w:tab/>
        <w:t>Ms. Aleka Scott, Pacific Northwest Generating Co.</w:t>
      </w:r>
    </w:p>
    <w:p>
      <w:pPr>
        <w:pStyle w:val="Heading3"/>
        <w:tabs>
          <w:tab w:val="clear" w:pos="720"/>
          <w:tab w:val="left" w:pos="5220" w:leader="none"/>
        </w:tabs>
        <w:ind w:hanging="0" w:start="180" w:end="0"/>
        <w:rPr>
          <w:sz w:val="22"/>
        </w:rPr>
      </w:pPr>
      <w:r>
        <w:rPr>
          <w:sz w:val="22"/>
        </w:rPr>
        <w:t>Mr. Don Johnson, PacifiCorp</w:t>
        <w:tab/>
        <w:t>Mr. Jamie Sims, PacifiCorp</w:t>
        <w:tab/>
        <w:tab/>
      </w:r>
    </w:p>
    <w:p>
      <w:pPr>
        <w:pStyle w:val="Heading3"/>
        <w:tabs>
          <w:tab w:val="clear" w:pos="720"/>
          <w:tab w:val="left" w:pos="5220" w:leader="none"/>
        </w:tabs>
        <w:ind w:hanging="0" w:start="180" w:end="0"/>
        <w:rPr/>
      </w:pPr>
      <w:r>
        <w:rPr>
          <w:sz w:val="22"/>
        </w:rPr>
        <w:t xml:space="preserve">Mr. Richard Goddard, Portland General Electric </w:t>
        <w:tab/>
      </w:r>
      <w:r>
        <w:rPr>
          <w:bCs w:val="false"/>
          <w:sz w:val="22"/>
        </w:rPr>
        <w:t>Mr. Jerry Thale, Portland General Electric</w:t>
      </w:r>
      <w:r>
        <w:rPr>
          <w:sz w:val="22"/>
        </w:rPr>
        <w:t xml:space="preserve"> </w:t>
      </w:r>
    </w:p>
    <w:p>
      <w:pPr>
        <w:pStyle w:val="Heading3"/>
        <w:tabs>
          <w:tab w:val="clear" w:pos="720"/>
          <w:tab w:val="left" w:pos="5220" w:leader="none"/>
        </w:tabs>
        <w:ind w:hanging="0" w:start="180" w:end="0"/>
        <w:rPr>
          <w:sz w:val="22"/>
        </w:rPr>
      </w:pPr>
      <w:r>
        <w:rPr>
          <w:sz w:val="22"/>
        </w:rPr>
        <w:t>Ms. Lyn Williams, Portland General Electric</w:t>
        <w:tab/>
        <w:t>Mr. Phil Park, Power Exchange Corp.</w:t>
        <w:tab/>
      </w:r>
    </w:p>
    <w:p>
      <w:pPr>
        <w:pStyle w:val="Heading3"/>
        <w:tabs>
          <w:tab w:val="clear" w:pos="720"/>
          <w:tab w:val="left" w:pos="5220" w:leader="none"/>
        </w:tabs>
        <w:ind w:hanging="0" w:start="180" w:end="0"/>
        <w:rPr>
          <w:sz w:val="22"/>
        </w:rPr>
      </w:pPr>
      <w:r>
        <w:rPr>
          <w:sz w:val="22"/>
        </w:rPr>
        <w:t>Mr. Larry H. Gruel, PPL Montana</w:t>
        <w:tab/>
        <w:t>Mr. Pete Simonich, PPL Montana</w:t>
        <w:tab/>
      </w:r>
    </w:p>
    <w:p>
      <w:pPr>
        <w:pStyle w:val="Heading3"/>
        <w:tabs>
          <w:tab w:val="clear" w:pos="720"/>
          <w:tab w:val="left" w:pos="5220" w:leader="none"/>
        </w:tabs>
        <w:ind w:hanging="0" w:start="180" w:end="0"/>
        <w:rPr>
          <w:sz w:val="22"/>
        </w:rPr>
      </w:pPr>
      <w:r>
        <w:rPr>
          <w:sz w:val="22"/>
        </w:rPr>
        <w:t>Mr. Harvey Spigal, Preston-Gates</w:t>
        <w:tab/>
        <w:t>Ms. Kimberly Harris, Puget Sound Energy</w:t>
        <w:tab/>
      </w:r>
    </w:p>
    <w:p>
      <w:pPr>
        <w:pStyle w:val="Heading3"/>
        <w:tabs>
          <w:tab w:val="clear" w:pos="720"/>
          <w:tab w:val="left" w:pos="5220" w:leader="none"/>
        </w:tabs>
        <w:ind w:hanging="0" w:start="180" w:end="0"/>
        <w:rPr>
          <w:sz w:val="22"/>
        </w:rPr>
      </w:pPr>
      <w:r>
        <w:rPr>
          <w:sz w:val="22"/>
        </w:rPr>
        <w:t>Mr. Chris Reese, Puget Sound Energy</w:t>
        <w:tab/>
        <w:t>Mr. Doug Rough, Seattle City Light</w:t>
        <w:tab/>
      </w:r>
    </w:p>
    <w:p>
      <w:pPr>
        <w:pStyle w:val="Heading3"/>
        <w:tabs>
          <w:tab w:val="clear" w:pos="720"/>
          <w:tab w:val="left" w:pos="5220" w:leader="none"/>
        </w:tabs>
        <w:ind w:hanging="0" w:start="180" w:end="0"/>
        <w:rPr>
          <w:sz w:val="22"/>
        </w:rPr>
      </w:pPr>
      <w:r>
        <w:rPr>
          <w:sz w:val="22"/>
        </w:rPr>
        <w:t>Ms. Denise Hill, TransAlta</w:t>
        <w:tab/>
        <w:t>Mr. Roy MacMillan, TransAlta</w:t>
        <w:tab/>
      </w:r>
    </w:p>
    <w:p>
      <w:pPr>
        <w:pStyle w:val="Heading3"/>
        <w:tabs>
          <w:tab w:val="clear" w:pos="720"/>
          <w:tab w:val="left" w:pos="5220" w:leader="none"/>
        </w:tabs>
        <w:ind w:hanging="0" w:start="180" w:end="0"/>
        <w:rPr>
          <w:sz w:val="22"/>
        </w:rPr>
      </w:pPr>
      <w:r>
        <w:rPr>
          <w:sz w:val="22"/>
        </w:rPr>
        <w:t>Mr. Chris Oakley, Utilicorp Networks Canada</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BodyText"/>
        <w:ind w:start="180" w:end="0"/>
        <w:rPr>
          <w:rFonts w:ascii="Times New Roman" w:hAnsi="Times New Roman" w:cs="Times New Roman"/>
          <w:sz w:val="22"/>
        </w:rPr>
      </w:pPr>
      <w:r>
        <w:rPr>
          <w:rFonts w:cs="Times New Roman" w:ascii="Times New Roman" w:hAnsi="Times New Roman"/>
          <w:sz w:val="22"/>
        </w:rPr>
        <w:t xml:space="preserve">Last year you were invited to attend a series of public meetings that dealt with the Operating Transmission Capability (OTC) of the West of Hatwai (WOH) cutplane.  The purpose of this letter is to keep you updated on the variety of actions Bonneville Power Administration (BPA) is taking to resolve the congestion problems associated with this cutplane. </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We have successfully upgraded the capacity on the path by 910 MW.  On December 14, 2001, BPA and Avista Corporation (Avista) filed their Spring Operating Studies with the Northwest Operational Planning Study Group (NOPSG.)  Those studies demonstrated that BPA had an OTC of 2800 MW across the cutplane.  This OTC was based largely on a stability-related limit of 610 MW on the federal hydro projects at Libby and Hungry Horse dams.  Additionally, improvements BPA has made to the federal system (listed below) have added approximately 300 MVA of capability to lines that affect the WOH cutplane.</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Normal"/>
        <w:ind w:start="180" w:end="0"/>
        <w:rPr/>
      </w:pPr>
      <w:r>
        <w:rPr>
          <w:rFonts w:cs="Times New Roman" w:ascii="Times New Roman" w:hAnsi="Times New Roman"/>
          <w:bCs/>
          <w:color w:val="000000"/>
          <w:sz w:val="22"/>
        </w:rPr>
        <w:t xml:space="preserve">** </w:t>
      </w:r>
      <w:r>
        <w:rPr>
          <w:rFonts w:cs="Times New Roman" w:ascii="Times New Roman" w:hAnsi="Times New Roman"/>
          <w:bCs/>
          <w:color w:val="000000"/>
          <w:sz w:val="22"/>
          <w:u w:val="single"/>
        </w:rPr>
        <w:t>Note that all transmission line ratings are given for a 30° C ambient temperature</w:t>
      </w:r>
      <w:r>
        <w:rPr>
          <w:rFonts w:cs="Times New Roman" w:ascii="Times New Roman" w:hAnsi="Times New Roman"/>
          <w:bCs/>
          <w:color w:val="000000"/>
          <w:sz w:val="22"/>
        </w:rPr>
        <w:t xml:space="preserve"> **</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North Lewiston--Walla Walla 115</w:t>
        <w:noBreakHyphen/>
        <w:t>kV circuit #1</w:t>
      </w:r>
    </w:p>
    <w:p>
      <w:pPr>
        <w:pStyle w:val="Normal"/>
        <w:ind w:firstLine="720" w:start="180" w:end="0"/>
        <w:rPr>
          <w:rFonts w:ascii="Times New Roman" w:hAnsi="Times New Roman" w:cs="Times New Roman"/>
          <w:bCs/>
          <w:color w:val="000000"/>
          <w:sz w:val="22"/>
        </w:rPr>
      </w:pPr>
      <w:r>
        <w:rPr>
          <w:rFonts w:cs="Times New Roman" w:ascii="Times New Roman" w:hAnsi="Times New Roman"/>
          <w:bCs/>
          <w:color w:val="000000"/>
          <w:sz w:val="22"/>
        </w:rPr>
        <w:t>Improved from 320 A (63 MVA) to 660A (131 MVA)</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Bell (Westside)--Grand Coulee 230</w:t>
        <w:noBreakHyphen/>
        <w:t>kV circuit #4</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ab/>
        <w:t>Improved from 1190 A (474 MVA) to 1420A (565 MVA)</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Bell--Grand Coulee 230</w:t>
        <w:noBreakHyphen/>
        <w:t xml:space="preserve">kV circuit #3 </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ab/>
        <w:t>Improved from 1040 A (414 MVA) to 1400A (557 MVA)</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This month we began to develop the summer studies that we will file with NOPSG on April 15, 2002.  BPA will continue to employ scheduling practices that maximize the flow across the cutplane and will continue to upgrade federal transmission in the area to support higher West of Hatwai flows.  Additionally, BPA has co-funded an upgrade study with Avista that will indicate improvements that can be made to increase thermal capability of lines on Avista’s 230</w:t>
        <w:noBreakHyphen/>
        <w:t xml:space="preserve">kV system.  BPA is paying 50 percent of the cost of this study. </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BodyText"/>
        <w:ind w:start="180" w:end="0"/>
        <w:rPr>
          <w:rFonts w:ascii="Times New Roman" w:hAnsi="Times New Roman" w:cs="Times New Roman"/>
          <w:sz w:val="22"/>
        </w:rPr>
      </w:pPr>
      <w:r>
        <w:rPr>
          <w:rFonts w:cs="Times New Roman" w:ascii="Times New Roman" w:hAnsi="Times New Roman"/>
          <w:sz w:val="22"/>
        </w:rPr>
        <w:t>BPA is also beginning the process that will lead to construction of a new 500</w:t>
        <w:noBreakHyphen/>
        <w:t>kV transmission line from Bell Substation to Grand Coulee Substation.  In anticipation of constructing this project, BPA is planning to ask the Western Systems Coordinating Council (WSCC) to redefine the WOH cutplane and re-rate it on the assumption that the Bell-Coulee line is in place.  After the WSCC re-rates the path, we intend to proceed to binding arbitration to re-allocate the capacity between BPA and Avista.  This re-allocation will be effective when the upgrade is completed and in service.</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Our intent is to make all of the above processes as public and informative as necessary.  If you need clarification or have any questions, feel free to contact me at 360</w:t>
        <w:noBreakHyphen/>
        <w:t>418-8635.</w:t>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r>
    </w:p>
    <w:p>
      <w:pPr>
        <w:pStyle w:val="Normal"/>
        <w:ind w:start="180" w:end="0"/>
        <w:rPr>
          <w:rFonts w:ascii="Times New Roman" w:hAnsi="Times New Roman" w:cs="Times New Roman"/>
          <w:bCs/>
          <w:color w:val="000000"/>
          <w:sz w:val="22"/>
        </w:rPr>
      </w:pPr>
      <w:r>
        <w:rPr>
          <w:rFonts w:cs="Times New Roman" w:ascii="Times New Roman" w:hAnsi="Times New Roman"/>
          <w:bCs/>
          <w:color w:val="000000"/>
          <w:sz w:val="22"/>
        </w:rPr>
        <w:t>Sincerely,</w:t>
      </w:r>
    </w:p>
    <w:p>
      <w:pPr>
        <w:pStyle w:val="Normal"/>
        <w:rPr>
          <w:rFonts w:ascii="Times New Roman" w:hAnsi="Times New Roman" w:cs="Times New Roman"/>
          <w:bCs/>
          <w:color w:val="000000"/>
          <w:sz w:val="22"/>
        </w:rPr>
      </w:pPr>
      <w:r>
        <w:rPr>
          <w:rFonts w:cs="Times New Roman" w:ascii="Times New Roman" w:hAnsi="Times New Roman"/>
          <w:bCs/>
          <w:color w:val="000000"/>
          <w:sz w:val="22"/>
        </w:rPr>
      </w:r>
    </w:p>
    <w:p>
      <w:pPr>
        <w:pStyle w:val="BODY"/>
        <w:ind w:start="180" w:end="0"/>
        <w:rPr>
          <w:bCs/>
          <w:color w:val="000000"/>
          <w:sz w:val="22"/>
        </w:rPr>
      </w:pPr>
      <w:r>
        <w:rPr>
          <w:bCs/>
          <w:color w:val="000000"/>
          <w:sz w:val="22"/>
        </w:rPr>
        <w:t>Robert D. King</w:t>
      </w:r>
    </w:p>
    <w:p>
      <w:pPr>
        <w:pStyle w:val="BODY"/>
        <w:ind w:start="180" w:end="0"/>
        <w:rPr>
          <w:bCs/>
          <w:color w:val="000000"/>
          <w:sz w:val="22"/>
        </w:rPr>
      </w:pPr>
      <w:r>
        <w:rPr>
          <w:bCs/>
          <w:color w:val="000000"/>
          <w:sz w:val="22"/>
        </w:rPr>
        <w:t>Senior Account Executive</w:t>
      </w:r>
    </w:p>
    <w:p>
      <w:pPr>
        <w:pStyle w:val="BODY"/>
        <w:ind w:start="180" w:end="0"/>
        <w:rPr>
          <w:bCs/>
          <w:color w:val="000000"/>
          <w:sz w:val="22"/>
        </w:rPr>
      </w:pPr>
      <w:r>
        <w:rPr>
          <w:bCs/>
          <w:color w:val="000000"/>
          <w:sz w:val="22"/>
        </w:rPr>
        <w:t>Transmission Marketing &amp; Sales</w:t>
      </w:r>
    </w:p>
    <w:p>
      <w:pPr>
        <w:pStyle w:val="BODY"/>
        <w:ind w:start="180" w:end="0"/>
        <w:rPr>
          <w:bCs/>
          <w:color w:val="000000"/>
          <w:sz w:val="22"/>
        </w:rPr>
      </w:pPr>
      <w:r>
        <w:rPr>
          <w:bCs/>
          <w:color w:val="000000"/>
          <w:sz w:val="22"/>
        </w:rPr>
      </w:r>
    </w:p>
    <w:sectPr>
      <w:type w:val="continuous"/>
      <w:pgSz w:w="12240" w:h="15840"/>
      <w:pgMar w:left="1296" w:right="1080" w:gutter="0" w:header="1440" w:top="1496" w:footer="0" w:bottom="7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Fonts w:ascii="Times New Roman" w:hAnsi="Times New Roman" w:cs="Times New Roman"/>
        <w:sz w:val="24"/>
      </w:rPr>
    </w:pPr>
    <w:r>
      <w:rPr>
        <w:rFonts w:cs="Times New Roman" w:ascii="Times New Roman" w:hAnsi="Times New Roman"/>
        <w:sz w:val="24"/>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Head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w:t>
                    </w:r>
                    <w:r>
                      <w:rPr>
                        <w:rStyle w:val="PageNumber"/>
                        <w:sz w:val="24"/>
                        <w:rFonts w:cs="Times New Roman" w:ascii="Times New Roman" w:hAnsi="Times New Roman"/>
                      </w:rPr>
                      <w:fldChar w:fldCharType="end"/>
                    </w:r>
                  </w:p>
                </w:txbxContent>
              </v:textbox>
              <w10:wrap type="square"/>
            </v:rect>
          </w:pict>
        </mc:Fallback>
      </mc:AlternateContent>
    </w:r>
  </w:p>
  <w:p>
    <w:pPr>
      <w:pStyle w:val="Header"/>
      <w:ind w:end="360"/>
      <w:rPr>
        <w:rFonts w:ascii="Times New Roman" w:hAnsi="Times New Roman" w:cs="Times New Roman"/>
        <w:sz w:val="24"/>
      </w:rPr>
    </w:pPr>
    <w:r>
      <w:rPr>
        <w:rFonts w:cs="Times New Roman" w:ascii="Times New Roman" w:hAnsi="Times New Roman"/>
        <w:sz w:val="24"/>
      </w:rPr>
    </w:r>
  </w:p>
  <w:p>
    <w:pPr>
      <w:pStyle w:val="Header"/>
      <w:ind w:end="360"/>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16"/>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Cs/>
      <w:color w:val="000000"/>
      <w:sz w:val="22"/>
    </w:rPr>
  </w:style>
  <w:style w:type="paragraph" w:styleId="Heading2">
    <w:name w:val="heading 2"/>
    <w:basedOn w:val="Normal"/>
    <w:next w:val="Normal"/>
    <w:qFormat/>
    <w:pPr>
      <w:keepNext w:val="true"/>
      <w:numPr>
        <w:ilvl w:val="1"/>
        <w:numId w:val="1"/>
      </w:numPr>
      <w:jc w:val="center"/>
      <w:outlineLvl w:val="1"/>
    </w:pPr>
    <w:rPr>
      <w:b/>
      <w:color w:val="auto"/>
      <w:sz w:val="24"/>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Cs/>
      <w:color w:val="000000"/>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bCs/>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rPr>
      <w:rFonts w:ascii="Times New Roman" w:hAnsi="Times New Roman" w:cs="Times New Roman"/>
      <w:color w:val="0000FF"/>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vancbx</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2002-02-06T19:28:00Z</dcterms:created>
  <dc:creator>BPA</dc:creator>
  <dc:description/>
  <dc:language>en-CA</dc:language>
  <cp:lastModifiedBy>MAO0005</cp:lastModifiedBy>
  <cp:lastPrinted>2002-02-06T13:26:00Z</cp:lastPrinted>
  <dcterms:modified xsi:type="dcterms:W3CDTF">2002-02-06T19:31:00Z</dcterms:modified>
  <cp:revision>4</cp:revision>
  <dc:subject/>
  <dc:title> </dc:title>
</cp:coreProperties>
</file>