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emf" ContentType="image/x-emf"/>
  <Override PartName="/word/media/image2.emf" ContentType="image/x-emf"/>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800" w:type="dxa"/>
        <w:jc w:val="start"/>
        <w:tblInd w:w="7" w:type="dxa"/>
        <w:tblLayout w:type="fixed"/>
        <w:tblCellMar>
          <w:top w:w="0" w:type="dxa"/>
          <w:start w:w="7" w:type="dxa"/>
          <w:bottom w:w="0" w:type="dxa"/>
          <w:end w:w="7" w:type="dxa"/>
        </w:tblCellMar>
      </w:tblPr>
      <w:tblGrid>
        <w:gridCol w:w="1710"/>
        <w:gridCol w:w="5850"/>
        <w:gridCol w:w="3240"/>
      </w:tblGrid>
      <w:tr>
        <w:trPr/>
        <w:tc>
          <w:tcPr>
            <w:tcW w:w="1710" w:type="dxa"/>
            <w:tcBorders>
              <w:top w:val="single" w:sz="6" w:space="0" w:color="000000"/>
              <w:start w:val="single" w:sz="6" w:space="0" w:color="000000"/>
            </w:tcBorders>
            <w:shd w:fill="0000FF" w:val="clear"/>
          </w:tcPr>
          <w:p>
            <w:pPr>
              <w:pStyle w:val="Normal"/>
              <w:snapToGrid w:val="false"/>
              <w:spacing w:before="0" w:after="0"/>
              <w:jc w:val="center"/>
              <w:rPr>
                <w:sz w:val="28"/>
                <w:szCs w:val="28"/>
              </w:rPr>
            </w:pPr>
            <w:r>
              <w:rPr>
                <w:sz w:val="28"/>
                <w:szCs w:val="28"/>
              </w:rPr>
            </w:r>
            <w:bookmarkStart w:id="0" w:name="trc_logo"/>
            <w:bookmarkStart w:id="1" w:name="trc_logo"/>
            <w:bookmarkEnd w:id="1"/>
          </w:p>
        </w:tc>
        <w:tc>
          <w:tcPr>
            <w:tcW w:w="5850" w:type="dxa"/>
            <w:tcBorders>
              <w:top w:val="single" w:sz="6" w:space="0" w:color="000000"/>
            </w:tcBorders>
            <w:shd w:fill="0000FF" w:val="clear"/>
          </w:tcPr>
          <w:p>
            <w:pPr>
              <w:pStyle w:val="Group"/>
              <w:spacing w:before="60" w:after="0"/>
              <w:ind w:firstLine="86" w:start="0" w:end="0"/>
              <w:rPr>
                <w:sz w:val="22"/>
                <w:szCs w:val="22"/>
              </w:rPr>
            </w:pPr>
            <w:r>
              <w:fldChar w:fldCharType="begin">
                <w:ffData>
                  <w:name w:val="trc_banner"/>
                  <w:enabled/>
                  <w:calcOnExit w:val="0"/>
                  <w:textInput/>
                </w:ffData>
              </w:fldChar>
            </w:r>
            <w:r>
              <w:rPr/>
              <w:instrText xml:space="preserve"> FORMTEXT </w:instrText>
            </w:r>
            <w:r>
              <w:rPr/>
            </w:r>
            <w:r>
              <w:rPr/>
              <w:fldChar w:fldCharType="separate"/>
            </w:r>
            <w:r>
              <w:rPr/>
              <w:t>Electric Utilities</w:t>
            </w:r>
            <w:r/>
            <w:r>
              <w:rPr/>
              <w:fldChar w:fldCharType="end"/>
            </w:r>
            <w:r>
              <w:rPr/>
            </w:r>
          </w:p>
        </w:tc>
        <w:tc>
          <w:tcPr>
            <w:tcW w:w="3240" w:type="dxa"/>
            <w:tcBorders>
              <w:top w:val="single" w:sz="6" w:space="0" w:color="000000"/>
            </w:tcBorders>
            <w:shd w:fill="0000FF" w:val="clear"/>
          </w:tcPr>
          <w:p>
            <w:pPr>
              <w:pStyle w:val="Normal"/>
              <w:spacing w:before="60" w:after="0"/>
              <w:jc w:val="end"/>
              <w:rPr>
                <w:rFonts w:ascii="Arial Rounded MT Bold" w:hAnsi="Arial Rounded MT Bold" w:eastAsia="Arial Rounded MT Bold" w:cs="Arial Rounded MT Bold"/>
                <w:b/>
                <w:bCs/>
                <w:smallCaps/>
                <w:color w:val="FFFFFF"/>
                <w:spacing w:val="34"/>
                <w:sz w:val="28"/>
                <w:szCs w:val="28"/>
              </w:rPr>
            </w:pPr>
            <w:bookmarkStart w:id="2" w:name="trc_UBS_logo_main"/>
            <w:r>
              <w:rPr>
                <w:rFonts w:eastAsia="Arial Rounded MT Bold" w:cs="Arial Rounded MT Bold" w:ascii="Arial Rounded MT Bold" w:hAnsi="Arial Rounded MT Bold"/>
                <w:b/>
                <w:bCs/>
                <w:smallCaps/>
                <w:color w:val="FFFFFF"/>
                <w:spacing w:val="34"/>
              </w:rPr>
              <w:drawing>
                <wp:inline distT="0" distB="0" distL="0" distR="0">
                  <wp:extent cx="2005330" cy="38100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005330" cy="381000"/>
                          </a:xfrm>
                          <a:prstGeom prst="rect">
                            <a:avLst/>
                          </a:prstGeom>
                          <a:noFill/>
                        </pic:spPr>
                      </pic:pic>
                    </a:graphicData>
                  </a:graphic>
                </wp:inline>
              </w:drawing>
            </w:r>
            <w:bookmarkEnd w:id="2"/>
          </w:p>
        </w:tc>
      </w:tr>
      <w:tr>
        <w:trPr/>
        <w:tc>
          <w:tcPr>
            <w:tcW w:w="1710" w:type="dxa"/>
            <w:tcBorders>
              <w:start w:val="single" w:sz="6" w:space="0" w:color="000000"/>
            </w:tcBorders>
            <w:shd w:fill="0000FF" w:val="clear"/>
          </w:tcPr>
          <w:p>
            <w:pPr>
              <w:pStyle w:val="Rating"/>
              <w:snapToGrid w:val="false"/>
              <w:spacing w:before="0" w:after="120"/>
              <w:jc w:val="start"/>
              <w:rPr>
                <w:rFonts w:ascii="Arial Rounded MT Bold" w:hAnsi="Arial Rounded MT Bold" w:eastAsia="Arial Rounded MT Bold" w:cs="Arial Rounded MT Bold"/>
                <w:b/>
                <w:bCs/>
                <w:smallCaps/>
                <w:color w:val="FFFFFF"/>
                <w:spacing w:val="34"/>
                <w:sz w:val="28"/>
                <w:szCs w:val="28"/>
              </w:rPr>
            </w:pPr>
            <w:r>
              <w:rPr>
                <w:rFonts w:eastAsia="Arial Rounded MT Bold" w:cs="Arial Rounded MT Bold" w:ascii="Arial Rounded MT Bold" w:hAnsi="Arial Rounded MT Bold"/>
                <w:b/>
                <w:bCs/>
                <w:smallCaps/>
                <w:color w:val="FFFFFF"/>
                <w:spacing w:val="34"/>
                <w:sz w:val="28"/>
                <w:szCs w:val="28"/>
              </w:rPr>
            </w:r>
          </w:p>
        </w:tc>
        <w:tc>
          <w:tcPr>
            <w:tcW w:w="5850" w:type="dxa"/>
            <w:tcBorders/>
            <w:shd w:fill="0000FF" w:val="clear"/>
          </w:tcPr>
          <w:p>
            <w:pPr>
              <w:pStyle w:val="Analysts"/>
              <w:rPr/>
            </w:pPr>
            <w:r>
              <w:fldChar w:fldCharType="begin">
                <w:ffData>
                  <w:name w:val="trc_analyst"/>
                  <w:enabled/>
                  <w:calcOnExit w:val="0"/>
                  <w:textInput/>
                </w:ffData>
              </w:fldChar>
            </w:r>
            <w:r>
              <w:rPr/>
              <w:instrText xml:space="preserve"> FORMTEXT </w:instrText>
            </w:r>
            <w:r>
              <w:rPr/>
            </w:r>
            <w:r>
              <w:rPr/>
              <w:fldChar w:fldCharType="separate"/>
            </w:r>
            <w:r>
              <w:rPr/>
              <w:t>Barry Abramson, CFA</w:t>
            </w:r>
            <w:r/>
            <w:r>
              <w:rPr/>
              <w:fldChar w:fldCharType="end"/>
            </w:r>
            <w:r>
              <w:rPr/>
            </w:r>
          </w:p>
          <w:p>
            <w:pPr>
              <w:pStyle w:val="PhoneEmail"/>
              <w:spacing w:before="0" w:after="120"/>
              <w:ind w:firstLine="86" w:start="0" w:end="0"/>
              <w:rPr>
                <w:sz w:val="28"/>
                <w:szCs w:val="28"/>
              </w:rPr>
            </w:pPr>
            <w:r>
              <w:fldChar w:fldCharType="begin">
                <w:ffData>
                  <w:name w:val="trc_phone"/>
                  <w:enabled/>
                  <w:calcOnExit w:val="0"/>
                  <w:textInput/>
                </w:ffData>
              </w:fldChar>
            </w:r>
            <w:r>
              <w:rPr/>
              <w:instrText xml:space="preserve"> FORMTEXT </w:instrText>
            </w:r>
            <w:r>
              <w:rPr/>
            </w:r>
            <w:r>
              <w:rPr/>
              <w:fldChar w:fldCharType="separate"/>
            </w:r>
            <w:r>
              <w:rPr/>
              <w:t>+1 212 713 2516</w:t>
            </w:r>
            <w:r>
              <w:rPr/>
            </w:r>
            <w:r>
              <w:rPr/>
              <w:fldChar w:fldCharType="end"/>
            </w:r>
            <w:r>
              <w:rPr/>
              <w:t>/</w:t>
            </w:r>
            <w:r>
              <w:fldChar w:fldCharType="begin">
                <w:ffData>
                  <w:name w:val="trc_email"/>
                  <w:enabled/>
                  <w:calcOnExit w:val="0"/>
                  <w:textInput/>
                </w:ffData>
              </w:fldChar>
            </w:r>
            <w:r>
              <w:rPr/>
              <w:instrText xml:space="preserve"> FORMTEXT </w:instrText>
            </w:r>
            <w:r>
              <w:rPr/>
            </w:r>
            <w:r>
              <w:rPr/>
              <w:fldChar w:fldCharType="separate"/>
            </w:r>
            <w:r>
              <w:rPr/>
              <w:t>barry.abramson@ubsw.com</w:t>
            </w:r>
            <w:r/>
            <w:r>
              <w:rPr/>
              <w:fldChar w:fldCharType="end"/>
            </w:r>
            <w:r>
              <w:rPr/>
            </w:r>
          </w:p>
        </w:tc>
        <w:tc>
          <w:tcPr>
            <w:tcW w:w="3240" w:type="dxa"/>
            <w:tcBorders/>
            <w:shd w:fill="0000FF" w:val="clear"/>
          </w:tcPr>
          <w:p>
            <w:pPr>
              <w:pStyle w:val="Publication"/>
              <w:spacing w:before="60" w:after="0"/>
              <w:ind w:hanging="0" w:start="0" w:end="72"/>
              <w:jc w:val="end"/>
              <w:rPr/>
            </w:pPr>
            <w:r>
              <w:rPr>
                <w:spacing w:val="5"/>
              </w:rPr>
              <w:t xml:space="preserve">RESEARCH </w:t>
            </w:r>
            <w:r>
              <w:rPr>
                <w:spacing w:val="0"/>
              </w:rPr>
              <w:t>NOTE</w:t>
            </w:r>
          </w:p>
        </w:tc>
      </w:tr>
      <w:tr>
        <w:trPr/>
        <w:tc>
          <w:tcPr>
            <w:tcW w:w="1710" w:type="dxa"/>
            <w:tcBorders>
              <w:start w:val="single" w:sz="6" w:space="0" w:color="000000"/>
            </w:tcBorders>
            <w:shd w:fill="0000FF" w:val="clear"/>
          </w:tcPr>
          <w:p>
            <w:pPr>
              <w:pStyle w:val="Normal"/>
              <w:snapToGrid w:val="false"/>
              <w:spacing w:before="0" w:after="0"/>
              <w:rPr>
                <w:spacing w:val="0"/>
                <w:sz w:val="28"/>
                <w:szCs w:val="28"/>
              </w:rPr>
            </w:pPr>
            <w:r>
              <w:rPr>
                <w:spacing w:val="0"/>
                <w:sz w:val="28"/>
                <w:szCs w:val="28"/>
              </w:rPr>
            </w:r>
          </w:p>
        </w:tc>
        <w:tc>
          <w:tcPr>
            <w:tcW w:w="5850" w:type="dxa"/>
            <w:tcBorders/>
            <w:shd w:fill="0000FF" w:val="clear"/>
          </w:tcPr>
          <w:p>
            <w:pPr>
              <w:pStyle w:val="Associates"/>
              <w:rPr/>
            </w:pPr>
            <w:r>
              <w:fldChar w:fldCharType="begin">
                <w:ffData>
                  <w:name w:val="trc_analyst_sec1"/>
                  <w:enabled/>
                  <w:calcOnExit w:val="0"/>
                  <w:textInput/>
                </w:ffData>
              </w:fldChar>
            </w:r>
            <w:r>
              <w:rPr/>
              <w:instrText xml:space="preserve"> FORMTEXT </w:instrText>
            </w:r>
            <w:r>
              <w:rPr/>
            </w:r>
            <w:r>
              <w:rPr/>
              <w:fldChar w:fldCharType="separate"/>
            </w:r>
            <w:r>
              <w:rPr/>
              <w:t xml:space="preserve">     </w:t>
            </w:r>
            <w:r/>
            <w:r>
              <w:rPr/>
              <w:fldChar w:fldCharType="end"/>
            </w:r>
            <w:r>
              <w:rPr/>
            </w:r>
          </w:p>
        </w:tc>
        <w:tc>
          <w:tcPr>
            <w:tcW w:w="3240" w:type="dxa"/>
            <w:tcBorders/>
            <w:shd w:fill="0000FF" w:val="clear"/>
          </w:tcPr>
          <w:p>
            <w:pPr>
              <w:pStyle w:val="CoverDate"/>
              <w:rPr/>
            </w:pPr>
            <w:r>
              <w:fldChar w:fldCharType="begin">
                <w:ffData>
                  <w:name w:val="trc_dateofsubmission"/>
                  <w:enabled/>
                  <w:calcOnExit w:val="0"/>
                  <w:textInput/>
                </w:ffData>
              </w:fldChar>
            </w:r>
            <w:r>
              <w:rPr/>
              <w:instrText xml:space="preserve"> FORMTEXT </w:instrText>
            </w:r>
            <w:r>
              <w:rPr/>
            </w:r>
            <w:r>
              <w:rPr/>
              <w:fldChar w:fldCharType="separate"/>
            </w:r>
            <w:r>
              <w:rPr/>
              <w:t>November 19, 2001</w:t>
            </w:r>
            <w:r/>
            <w:r>
              <w:rPr/>
              <w:fldChar w:fldCharType="end"/>
            </w:r>
            <w:r>
              <w:rPr/>
            </w:r>
          </w:p>
        </w:tc>
      </w:tr>
      <w:tr>
        <w:trPr/>
        <w:tc>
          <w:tcPr>
            <w:tcW w:w="1710" w:type="dxa"/>
            <w:tcBorders>
              <w:start w:val="single" w:sz="6" w:space="0" w:color="000000"/>
            </w:tcBorders>
            <w:shd w:fill="0000FF" w:val="clear"/>
          </w:tcPr>
          <w:p>
            <w:pPr>
              <w:pStyle w:val="Normal"/>
              <w:snapToGrid w:val="false"/>
              <w:spacing w:before="0" w:after="0"/>
              <w:rPr>
                <w:sz w:val="28"/>
                <w:szCs w:val="28"/>
              </w:rPr>
            </w:pPr>
            <w:r>
              <w:rPr>
                <w:sz w:val="28"/>
                <w:szCs w:val="28"/>
              </w:rPr>
            </w:r>
          </w:p>
        </w:tc>
        <w:tc>
          <w:tcPr>
            <w:tcW w:w="5850" w:type="dxa"/>
            <w:tcBorders/>
            <w:shd w:fill="0000FF" w:val="clear"/>
          </w:tcPr>
          <w:p>
            <w:pPr>
              <w:pStyle w:val="Associates"/>
              <w:rPr/>
            </w:pPr>
            <w:r>
              <w:fldChar w:fldCharType="begin">
                <w:ffData>
                  <w:name w:val="trc_analyst_sec2"/>
                  <w:enabled/>
                  <w:calcOnExit w:val="0"/>
                  <w:textInput/>
                </w:ffData>
              </w:fldChar>
            </w:r>
            <w:r>
              <w:rPr/>
              <w:instrText xml:space="preserve"> FORMTEXT </w:instrText>
            </w:r>
            <w:r>
              <w:rPr/>
            </w:r>
            <w:r>
              <w:rPr/>
              <w:fldChar w:fldCharType="separate"/>
            </w:r>
            <w:r>
              <w:rPr/>
              <w:t xml:space="preserve">     </w:t>
            </w:r>
            <w:r/>
            <w:r>
              <w:rPr/>
              <w:fldChar w:fldCharType="end"/>
            </w:r>
            <w:r>
              <w:rPr/>
            </w:r>
          </w:p>
        </w:tc>
        <w:tc>
          <w:tcPr>
            <w:tcW w:w="3240" w:type="dxa"/>
            <w:tcBorders/>
            <w:shd w:fill="0000FF" w:val="clear"/>
          </w:tcPr>
          <w:p>
            <w:pPr>
              <w:pStyle w:val="Normal"/>
              <w:snapToGrid w:val="false"/>
              <w:spacing w:before="0" w:after="0"/>
              <w:jc w:val="end"/>
              <w:rPr>
                <w:rFonts w:ascii="Arial Rounded MT Bold" w:hAnsi="Arial Rounded MT Bold" w:eastAsia="Arial Rounded MT Bold" w:cs="Arial Rounded MT Bold"/>
                <w:b/>
                <w:bCs/>
                <w:smallCaps/>
                <w:color w:val="FFFFFF"/>
                <w:spacing w:val="30"/>
                <w:sz w:val="22"/>
                <w:szCs w:val="22"/>
              </w:rPr>
            </w:pPr>
            <w:r>
              <w:rPr>
                <w:rFonts w:eastAsia="Arial Rounded MT Bold" w:cs="Arial Rounded MT Bold" w:ascii="Arial Rounded MT Bold" w:hAnsi="Arial Rounded MT Bold"/>
                <w:b/>
                <w:bCs/>
                <w:smallCaps/>
                <w:color w:val="FFFFFF"/>
                <w:spacing w:val="30"/>
                <w:sz w:val="22"/>
                <w:szCs w:val="22"/>
              </w:rPr>
            </w:r>
          </w:p>
        </w:tc>
      </w:tr>
      <w:tr>
        <w:trPr/>
        <w:tc>
          <w:tcPr>
            <w:tcW w:w="10800" w:type="dxa"/>
            <w:gridSpan w:val="3"/>
            <w:tcBorders/>
          </w:tcPr>
          <w:p>
            <w:pPr>
              <w:pStyle w:val="Normal"/>
              <w:snapToGrid w:val="false"/>
              <w:spacing w:before="0" w:after="0"/>
              <w:jc w:val="end"/>
              <w:rPr>
                <w:rFonts w:ascii="Arial Rounded MT Bold" w:hAnsi="Arial Rounded MT Bold" w:eastAsia="Arial Rounded MT Bold" w:cs="Arial Rounded MT Bold"/>
                <w:b/>
                <w:bCs/>
                <w:smallCaps/>
                <w:color w:val="FFFFFF"/>
                <w:spacing w:val="30"/>
                <w:sz w:val="16"/>
                <w:szCs w:val="16"/>
              </w:rPr>
            </w:pPr>
            <w:r>
              <w:rPr>
                <w:rFonts w:eastAsia="Arial Rounded MT Bold" w:cs="Arial Rounded MT Bold" w:ascii="Arial Rounded MT Bold" w:hAnsi="Arial Rounded MT Bold"/>
                <w:b/>
                <w:bCs/>
                <w:smallCaps/>
                <w:color w:val="FFFFFF"/>
                <w:spacing w:val="30"/>
                <w:sz w:val="16"/>
                <w:szCs w:val="16"/>
              </w:rPr>
            </w:r>
          </w:p>
        </w:tc>
      </w:tr>
    </w:tbl>
    <w:p>
      <w:pPr>
        <w:pStyle w:val="Normal"/>
        <w:rPr/>
      </w:pPr>
      <w:r>
        <w:rPr/>
      </w:r>
    </w:p>
    <w:tbl>
      <w:tblPr>
        <w:tblW w:w="10800" w:type="dxa"/>
        <w:jc w:val="start"/>
        <w:tblInd w:w="7" w:type="dxa"/>
        <w:tblLayout w:type="fixed"/>
        <w:tblCellMar>
          <w:top w:w="0" w:type="dxa"/>
          <w:start w:w="7" w:type="dxa"/>
          <w:bottom w:w="0" w:type="dxa"/>
          <w:end w:w="7" w:type="dxa"/>
        </w:tblCellMar>
      </w:tblPr>
      <w:tblGrid>
        <w:gridCol w:w="10800"/>
      </w:tblGrid>
      <w:tr>
        <w:trPr/>
        <w:tc>
          <w:tcPr>
            <w:tcW w:w="10800" w:type="dxa"/>
            <w:tcBorders>
              <w:bottom w:val="single" w:sz="6" w:space="0" w:color="000000"/>
            </w:tcBorders>
          </w:tcPr>
          <w:p>
            <w:pPr>
              <w:pStyle w:val="MorningNoteTeaser"/>
              <w:spacing w:before="120" w:after="60"/>
              <w:rPr/>
            </w:pPr>
            <w:r>
              <w:fldChar w:fldCharType="begin">
                <w:ffData>
                  <w:name w:val="trc_headline"/>
                  <w:enabled/>
                  <w:calcOnExit w:val="0"/>
                  <w:textInput/>
                </w:ffData>
              </w:fldChar>
            </w:r>
            <w:r>
              <w:rPr/>
              <w:instrText xml:space="preserve"> FORMTEXT </w:instrText>
            </w:r>
            <w:r>
              <w:rPr/>
            </w:r>
            <w:r>
              <w:rPr/>
              <w:fldChar w:fldCharType="separate"/>
            </w:r>
            <w:r>
              <w:rPr/>
              <w:t>Electric Utilities: Weekly Update</w:t>
            </w:r>
            <w:r/>
            <w:r>
              <w:rPr/>
              <w:fldChar w:fldCharType="end"/>
            </w:r>
            <w:r>
              <w:rPr/>
            </w:r>
          </w:p>
        </w:tc>
      </w:tr>
    </w:tbl>
    <w:p>
      <w:pPr>
        <w:sectPr>
          <w:headerReference w:type="default" r:id="rId3"/>
          <w:headerReference w:type="first" r:id="rId4"/>
          <w:footerReference w:type="default" r:id="rId5"/>
          <w:footerReference w:type="first" r:id="rId6"/>
          <w:type w:val="continuous"/>
          <w:pgSz w:w="12240" w:h="15840"/>
          <w:pgMar w:left="720" w:right="720" w:gutter="0" w:header="576" w:top="720" w:footer="360" w:bottom="936"/>
          <w:formProt w:val="true"/>
          <w:titlePg/>
          <w:textDirection w:val="lrTb"/>
        </w:sectPr>
      </w:pPr>
    </w:p>
    <w:p>
      <w:pPr>
        <w:pStyle w:val="Highlight"/>
        <w:rPr/>
      </w:pPr>
      <w:r>
        <w:rPr/>
        <w:t>KEY POINTS</w:t>
      </w:r>
    </w:p>
    <w:p>
      <w:pPr>
        <w:pStyle w:val="HighlightText"/>
        <w:numPr>
          <w:ilvl w:val="0"/>
          <w:numId w:val="3"/>
        </w:numPr>
        <w:tabs>
          <w:tab w:val="clear" w:pos="720"/>
          <w:tab w:val="left" w:pos="0" w:leader="none"/>
        </w:tabs>
        <w:ind w:hanging="720" w:start="720"/>
        <w:rPr/>
      </w:pPr>
      <w:r>
        <w:rPr>
          <w:b/>
          <w:bCs/>
        </w:rPr>
        <w:t>We continue to recommend an overweighting in the electric utility group.</w:t>
      </w:r>
      <w:r>
        <w:rPr/>
        <w:t xml:space="preserve">  The group’s attractive relative P/E valuation, its high relative yield, its defensive nature and interest sensitivity are all reasons why we think electric stocks should perform well versus the overall stock market for the rest of 2001.</w:t>
      </w:r>
    </w:p>
    <w:p>
      <w:pPr>
        <w:pStyle w:val="HighlightText"/>
        <w:numPr>
          <w:ilvl w:val="0"/>
          <w:numId w:val="3"/>
        </w:numPr>
        <w:tabs>
          <w:tab w:val="clear" w:pos="720"/>
          <w:tab w:val="left" w:pos="0" w:leader="none"/>
        </w:tabs>
        <w:ind w:hanging="720" w:start="720"/>
        <w:rPr/>
      </w:pPr>
      <w:r>
        <w:rPr>
          <w:b/>
          <w:bCs/>
        </w:rPr>
        <w:t>The average P/E ratio for the electric utility group is now 10.8x estimated 2002 EPS, compared with a 2002 P/E of 24.2x for the S&amp;P 500.</w:t>
      </w:r>
      <w:r>
        <w:rPr/>
        <w:t xml:space="preserve">  The relative P/E ratio of 0.45x is below the 25-year historic normal range of 0.60x-0.80x, and is also near the all-time low of 0.40x.  </w:t>
      </w:r>
    </w:p>
    <w:p>
      <w:pPr>
        <w:pStyle w:val="HighlightText"/>
        <w:numPr>
          <w:ilvl w:val="0"/>
          <w:numId w:val="3"/>
        </w:numPr>
        <w:tabs>
          <w:tab w:val="clear" w:pos="720"/>
          <w:tab w:val="left" w:pos="0" w:leader="none"/>
        </w:tabs>
        <w:ind w:hanging="720" w:start="720"/>
        <w:rPr/>
      </w:pPr>
      <w:r>
        <w:rPr>
          <w:b/>
          <w:bCs/>
        </w:rPr>
        <w:t xml:space="preserve">The average yield for the electric utility group is now 4.96%, which should make the group attractive to individual investors earning around 2.25% in the typical money market fund.  </w:t>
      </w:r>
      <w:r>
        <w:rPr/>
        <w:t xml:space="preserve">Historically, the yield on utility stocks has rarely been more than twice as high as money market fund yields like it is today.     </w:t>
      </w:r>
    </w:p>
    <w:p>
      <w:pPr>
        <w:pStyle w:val="HighlightText"/>
        <w:numPr>
          <w:ilvl w:val="0"/>
          <w:numId w:val="3"/>
        </w:numPr>
        <w:tabs>
          <w:tab w:val="clear" w:pos="720"/>
          <w:tab w:val="left" w:pos="0" w:leader="none"/>
        </w:tabs>
        <w:ind w:hanging="720" w:start="720"/>
        <w:rPr/>
      </w:pPr>
      <w:r>
        <w:rPr>
          <w:b/>
          <w:bCs/>
        </w:rPr>
        <w:t xml:space="preserve">Falling oil and natural gas prices have caused wholesale power prices, that were already very low, to fall even further.  </w:t>
      </w:r>
      <w:r>
        <w:rPr/>
        <w:t>Electricity futures prices, shown in Exhibit 2 on Page 5, fell by another 5% in most regions in the past week.  Electricity futures prices have fallen by about 10% across the U.S. in the past month.</w:t>
      </w:r>
    </w:p>
    <w:p>
      <w:pPr>
        <w:pStyle w:val="HighlightText"/>
        <w:numPr>
          <w:ilvl w:val="0"/>
          <w:numId w:val="3"/>
        </w:numPr>
        <w:tabs>
          <w:tab w:val="clear" w:pos="720"/>
          <w:tab w:val="left" w:pos="0" w:leader="none"/>
        </w:tabs>
        <w:ind w:hanging="720" w:start="720"/>
        <w:rPr/>
      </w:pPr>
      <w:r>
        <w:rPr>
          <w:b/>
          <w:bCs/>
        </w:rPr>
        <w:t xml:space="preserve">Coal prices have not come down in line with the big declines in the prices of oil, natural gas and wholesale power (see Page 8 for data on spot coal prices).  </w:t>
      </w:r>
      <w:r>
        <w:rPr/>
        <w:t>The spot price of coal is more than 50% above the price levels from late last year in all coal markets.  It appears that due to supply constraints, coal prices have not followed the decline in oil and natural gas prices</w:t>
      </w:r>
      <w:r>
        <w:rPr>
          <w:b/>
          <w:bCs/>
        </w:rPr>
        <w:t>.</w:t>
      </w:r>
    </w:p>
    <w:p>
      <w:pPr>
        <w:pStyle w:val="HighlightText"/>
        <w:numPr>
          <w:ilvl w:val="0"/>
          <w:numId w:val="3"/>
        </w:numPr>
        <w:tabs>
          <w:tab w:val="clear" w:pos="720"/>
          <w:tab w:val="left" w:pos="0" w:leader="none"/>
        </w:tabs>
        <w:ind w:hanging="720" w:start="720"/>
        <w:rPr/>
      </w:pPr>
      <w:r>
        <w:rPr>
          <w:b/>
          <w:bCs/>
        </w:rPr>
        <w:t xml:space="preserve">Electric utility stocks lagged the overall stock market last week.  </w:t>
      </w:r>
      <w:r>
        <w:rPr/>
        <w:t xml:space="preserve">For the five trading days last week, electric utility stocks went down in value by 3.7%, compared with a gain of 1.6% for the S&amp;P 500.  IPP stocks had a good week, with an average gain of 7.1%.  </w:t>
      </w:r>
    </w:p>
    <w:p>
      <w:pPr>
        <w:pStyle w:val="HighlightText"/>
        <w:numPr>
          <w:ilvl w:val="0"/>
          <w:numId w:val="3"/>
        </w:numPr>
        <w:tabs>
          <w:tab w:val="clear" w:pos="720"/>
          <w:tab w:val="left" w:pos="0" w:leader="none"/>
        </w:tabs>
        <w:ind w:hanging="720" w:start="720"/>
        <w:rPr/>
      </w:pPr>
      <w:r>
        <w:rPr>
          <w:b/>
          <w:bCs/>
        </w:rPr>
        <w:t>SPECIAL HOLIDAY TRIVIA QUIZ.</w:t>
      </w:r>
      <w:r>
        <w:rPr/>
        <w:t xml:space="preserve">  This Thursday, Americans celebrate the Thanksgiving Day holiday.  Can you name two nuclear power plants whose names remind you of Thanksgiving?  (The answer is on the bottom of Page 4.) </w:t>
      </w:r>
    </w:p>
    <w:p>
      <w:pPr>
        <w:pStyle w:val="rule"/>
        <w:rPr/>
      </w:pPr>
      <w:r>
        <w:rPr/>
      </w:r>
    </w:p>
    <w:p>
      <w:pPr>
        <w:sectPr>
          <w:type w:val="continuous"/>
          <w:pgSz w:w="12240" w:h="15840"/>
          <w:pgMar w:left="720" w:right="720" w:gutter="0" w:header="576" w:top="720" w:footer="360" w:bottom="936"/>
          <w:formProt w:val="false"/>
          <w:titlePg/>
          <w:textDirection w:val="lrTb"/>
        </w:sectPr>
      </w:pPr>
    </w:p>
    <w:p>
      <w:pPr>
        <w:pStyle w:val="Head1"/>
        <w:rPr/>
      </w:pPr>
      <w:r>
        <w:rPr/>
        <w:t>topic of the week:  we quantify the decline in volatility in the wholesale power markets—implications for trading profits</w:t>
      </w:r>
    </w:p>
    <w:p>
      <w:pPr>
        <w:pStyle w:val="BodyText"/>
        <w:rPr/>
      </w:pPr>
      <w:r>
        <w:rPr/>
        <w:t xml:space="preserve">When wholesale power prices were rising during most of 2000, it was not hard to understand how the energy marketing and trading businesses of many utilities were able to report rising earnings.  However, wholesale power prices started to come down at the beginning of 2001 and this trend has continued all year long.  </w:t>
      </w:r>
    </w:p>
    <w:p>
      <w:pPr>
        <w:pStyle w:val="BodyText"/>
        <w:rPr/>
      </w:pPr>
      <w:r>
        <w:rPr/>
        <w:t xml:space="preserve">We expected to see falling earnings from energy trading and marketing in 2001 because of lower power prices that should have squeezed profit margins in trading.  However, most companies involved in marketing and trading reported strong results for the second and third quarters of 2001.  </w:t>
      </w:r>
    </w:p>
    <w:p>
      <w:pPr>
        <w:pStyle w:val="BodyText"/>
        <w:rPr/>
      </w:pPr>
      <w:r>
        <w:rPr/>
        <w:t xml:space="preserve">Most of them attributed their strong earnings to the fact that there was still sufficient volatility for them to make good profits even when power prices were falling in the second and third quarters.  </w:t>
      </w:r>
      <w:r>
        <w:rPr>
          <w:b/>
          <w:bCs/>
        </w:rPr>
        <w:t>Some companies even stated that it did not matter that prices were falling and that power prices appeared more stable, because they were still able to take advantage of daily volatility in the energy markets in the third quarter of 2001.</w:t>
      </w:r>
      <w:r>
        <w:rPr/>
        <w:t xml:space="preserve">    </w:t>
      </w:r>
    </w:p>
    <w:p>
      <w:pPr>
        <w:pStyle w:val="BodyText"/>
        <w:rPr/>
      </w:pPr>
      <w:r>
        <w:rPr/>
        <w:t>Therefore, when we started to see declines in volatility, after the end of the summer of 2001, we began to worry that we might finally begin to see very tough comparisons for the energy marketing and trading operations in the fourth quarter of 2001.</w:t>
      </w:r>
    </w:p>
    <w:p>
      <w:pPr>
        <w:pStyle w:val="BodyText"/>
        <w:rPr/>
      </w:pPr>
      <w:r>
        <w:br w:type="column"/>
      </w:r>
      <w:r>
        <w:rPr>
          <w:b/>
          <w:bCs/>
        </w:rPr>
        <w:t>We set out to measure wholesale power price volatility...</w:t>
      </w:r>
      <w:r>
        <w:rPr/>
        <w:t xml:space="preserve">  </w:t>
      </w:r>
    </w:p>
    <w:p>
      <w:pPr>
        <w:pStyle w:val="BodyText"/>
        <w:rPr/>
      </w:pPr>
      <w:r>
        <w:rPr/>
        <w:t xml:space="preserve">If companies were profiting from daily volatility, then we would measure daily price volatility in the wholesale power markets and then compare it for recent months versus the same periods in 2000.  We measured the difference between the daily high spot price for wholesale power and the daily low spot price.  Then we took a monthly average of these daily measurements of volatility in each of 16 different power trading regions of the U.S.  Then we compared the monthly average of the daily volatility to the monthly average of the year-earlier period.    </w:t>
      </w:r>
    </w:p>
    <w:p>
      <w:pPr>
        <w:pStyle w:val="BodyText"/>
        <w:rPr>
          <w:b/>
          <w:bCs/>
        </w:rPr>
      </w:pPr>
      <w:r>
        <w:rPr>
          <w:b/>
          <w:bCs/>
        </w:rPr>
        <w:t>…</w:t>
      </w:r>
      <w:r>
        <w:rPr>
          <w:b/>
          <w:bCs/>
        </w:rPr>
        <w:t xml:space="preserve">And we found that there has been a huge drop-off in daily power price volatility in the past few months of 2001.  </w:t>
      </w:r>
    </w:p>
    <w:p>
      <w:pPr>
        <w:pStyle w:val="BodyText"/>
        <w:rPr/>
      </w:pPr>
      <w:r>
        <w:rPr/>
        <w:t xml:space="preserve">In 15 out of the 16 power trading regions, the daily volatility was much lower in September, October and November (first half of November) 2001 versus the comparable months in 2000.  </w:t>
      </w:r>
    </w:p>
    <w:p>
      <w:pPr>
        <w:pStyle w:val="BodyText"/>
        <w:rPr>
          <w:b/>
          <w:bCs/>
        </w:rPr>
      </w:pPr>
      <w:r>
        <w:rPr>
          <w:b/>
          <w:bCs/>
        </w:rPr>
        <w:t>The following tables show the average difference between the daily high spot price and the daily low spot price for wholesale on-peak power.  All data are in $ per mWh.</w:t>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 xml:space="preserve">Northeast trading hub </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$2.60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$1.47</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$2.44</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$1.05</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$2.48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$1.00</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PJM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$2.41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$1.28</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$4.06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$1.26</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$3.96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$1.50</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Southern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rHeight w:val="377" w:hRule="atLeast"/>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$4.35</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$6.09</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$2.66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$5.51</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$1.50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$2.85</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SPP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rHeight w:val="260" w:hRule="atLeast"/>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$9.13</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$4.13</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$6.10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$3.35</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$4.75</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$3.27</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ERCOT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$4.16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$1.08</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$3.66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$1.71</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$3.63</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$1.35</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Entergy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$6.71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$2.53</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$4.35</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$1.70</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$4.44</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$1.91</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AEP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$7.50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$2.11</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$7.86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$1.26</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$7.29</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$1.42</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Cinergy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$5.58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$2.66</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$6.40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$2.62</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$6.67</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$1.69</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MAIN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$11.16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$3.92</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$10.47</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$3.64</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$10.02</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$3.33</w:t>
            </w:r>
          </w:p>
        </w:tc>
      </w:tr>
    </w:tbl>
    <w:p>
      <w:pPr>
        <w:pStyle w:val="BodyText"/>
        <w:rPr/>
      </w:pPr>
      <w:r>
        <w:rPr/>
      </w:r>
    </w:p>
    <w:p>
      <w:pPr>
        <w:pStyle w:val="BodyText"/>
        <w:rPr/>
      </w:pPr>
      <w:r>
        <w:br w:type="column"/>
      </w: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MAPP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$11.88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$3.08</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$9.01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$3.40</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$7.50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$3.09</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4-Corners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$5.98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$1.95</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$5.59</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$1.70</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$2.46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$1.56</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Palo Verde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$13.90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$2.26</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$6.21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$3.03</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$9.96</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$5.13</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Mid-Columbia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$13.45</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$1.21</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$7.18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$2.20</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$9.98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$2.32</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California-Oregon border trading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$16.10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$1.28</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$4.58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$2.02</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$4.92</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$2.09</w:t>
            </w:r>
          </w:p>
        </w:tc>
      </w:tr>
    </w:tbl>
    <w:p>
      <w:pPr>
        <w:pStyle w:val="BodyText"/>
        <w:rPr/>
      </w:pPr>
      <w:r>
        <w:rPr/>
      </w:r>
    </w:p>
    <w:p>
      <w:pPr>
        <w:pStyle w:val="BodyText"/>
        <w:rPr/>
      </w:pPr>
      <w:r>
        <w:br w:type="column"/>
      </w: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SP-15 Southern Cal.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$10.83</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$0.99</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$4.12</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$2.24</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$8.13</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$2.73</w:t>
            </w:r>
          </w:p>
        </w:tc>
      </w:tr>
    </w:tbl>
    <w:p>
      <w:pPr>
        <w:pStyle w:val="BodyText"/>
        <w:rPr/>
      </w:pPr>
      <w:r>
        <w:rPr/>
      </w:r>
    </w:p>
    <w:tbl>
      <w:tblPr>
        <w:tblW w:w="5436" w:type="dxa"/>
        <w:jc w:val="start"/>
        <w:tblInd w:w="0" w:type="dxa"/>
        <w:tblLayout w:type="fixed"/>
        <w:tblCellMar>
          <w:top w:w="0" w:type="dxa"/>
          <w:start w:w="108" w:type="dxa"/>
          <w:bottom w:w="0" w:type="dxa"/>
          <w:end w:w="108" w:type="dxa"/>
        </w:tblCellMar>
      </w:tblPr>
      <w:tblGrid>
        <w:gridCol w:w="1359"/>
        <w:gridCol w:w="1359"/>
        <w:gridCol w:w="1359"/>
        <w:gridCol w:w="1359"/>
      </w:tblGrid>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b/>
                <w:bCs/>
              </w:rPr>
            </w:pPr>
            <w:r>
              <w:rPr>
                <w:b/>
                <w:bCs/>
              </w:rPr>
              <w:t>NP-15 Northern Cal. Hub</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c>
          <w:tcPr>
            <w:tcW w:w="1359" w:type="dxa"/>
            <w:tcBorders>
              <w:top w:val="single" w:sz="6" w:space="0" w:color="000000"/>
              <w:start w:val="single" w:sz="6" w:space="0" w:color="000000"/>
              <w:bottom w:val="single" w:sz="6" w:space="0" w:color="000000"/>
              <w:end w:val="single" w:sz="6" w:space="0" w:color="000000"/>
            </w:tcBorders>
          </w:tcPr>
          <w:p>
            <w:pPr>
              <w:pStyle w:val="BodyText"/>
              <w:snapToGrid w:val="false"/>
              <w:spacing w:before="0" w:after="120"/>
              <w:jc w:val="center"/>
              <w:rPr/>
            </w:pPr>
            <w:r>
              <w:rPr/>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Avg. daily volatility</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Sept.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$12.68</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Sept.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$1.59</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Oct.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Oct.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$2.41</w:t>
            </w:r>
          </w:p>
        </w:tc>
      </w:tr>
      <w:tr>
        <w:trPr/>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rPr/>
            </w:pPr>
            <w:r>
              <w:rPr/>
              <w:t>Nov. 2000</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$8.21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Nov. 2001</w:t>
            </w:r>
          </w:p>
        </w:tc>
        <w:tc>
          <w:tcPr>
            <w:tcW w:w="1359" w:type="dxa"/>
            <w:tcBorders>
              <w:top w:val="single" w:sz="6" w:space="0" w:color="000000"/>
              <w:start w:val="single" w:sz="6" w:space="0" w:color="000000"/>
              <w:bottom w:val="single" w:sz="6" w:space="0" w:color="000000"/>
              <w:end w:val="single" w:sz="6" w:space="0" w:color="000000"/>
            </w:tcBorders>
          </w:tcPr>
          <w:p>
            <w:pPr>
              <w:pStyle w:val="BodyText"/>
              <w:spacing w:before="0" w:after="120"/>
              <w:jc w:val="center"/>
              <w:rPr/>
            </w:pPr>
            <w:r>
              <w:rPr/>
              <w:t>$4.33</w:t>
            </w:r>
          </w:p>
        </w:tc>
      </w:tr>
    </w:tbl>
    <w:p>
      <w:pPr>
        <w:pStyle w:val="BodyText"/>
        <w:rPr/>
      </w:pPr>
      <w:r>
        <w:rPr/>
      </w:r>
    </w:p>
    <w:p>
      <w:pPr>
        <w:pStyle w:val="BodyText"/>
        <w:rPr>
          <w:b/>
          <w:bCs/>
        </w:rPr>
      </w:pPr>
      <w:r>
        <w:rPr>
          <w:b/>
          <w:bCs/>
        </w:rPr>
        <w:t>What Do The Numbers In All These Tables Mean?</w:t>
      </w:r>
    </w:p>
    <w:p>
      <w:pPr>
        <w:pStyle w:val="BodyText"/>
        <w:numPr>
          <w:ilvl w:val="0"/>
          <w:numId w:val="4"/>
        </w:numPr>
        <w:tabs>
          <w:tab w:val="clear" w:pos="720"/>
          <w:tab w:val="left" w:pos="0" w:leader="none"/>
        </w:tabs>
        <w:ind w:hanging="720" w:start="720" w:end="0"/>
        <w:rPr/>
      </w:pPr>
      <w:r>
        <w:rPr>
          <w:b/>
          <w:bCs/>
        </w:rPr>
        <w:t>In 15 out of 16 power trading hubs, the degree of volatility in the power markets is sharply diminished.</w:t>
      </w:r>
      <w:r>
        <w:rPr/>
        <w:t xml:space="preserve">  The variation between the daily high and low price of power has shrunken significantly.  In year-to-year comparisons for October and November, the average daily volatility in 2001 is less than one-half of the 2000 volatility in most of the trading hubs.  This makes it harder to earn money by trading around the daily volatility in the power markets.</w:t>
      </w:r>
    </w:p>
    <w:p>
      <w:pPr>
        <w:pStyle w:val="BodyText"/>
        <w:numPr>
          <w:ilvl w:val="0"/>
          <w:numId w:val="4"/>
        </w:numPr>
        <w:tabs>
          <w:tab w:val="clear" w:pos="720"/>
          <w:tab w:val="left" w:pos="0" w:leader="none"/>
        </w:tabs>
        <w:ind w:hanging="360" w:start="720" w:end="0"/>
        <w:rPr/>
      </w:pPr>
      <w:r>
        <w:rPr>
          <w:b/>
          <w:bCs/>
        </w:rPr>
        <w:t>Looking at the October and November comparisons, we can conclude that earnings in the fourth quarter of 2001 from energy trading and marketing could be a lot lower for most companies.</w:t>
      </w:r>
      <w:r>
        <w:rPr/>
        <w:t xml:space="preserve">  Unless the company benefited from having hedged a large amount of power at high prices, currently low power prices and minimal volatility add up to low earnings potential from power trading and marketing. </w:t>
      </w:r>
    </w:p>
    <w:p>
      <w:pPr>
        <w:pStyle w:val="BodyText"/>
        <w:rPr>
          <w:b/>
          <w:bCs/>
        </w:rPr>
      </w:pPr>
      <w:r>
        <w:rPr>
          <w:b/>
          <w:bCs/>
        </w:rPr>
        <w:t>LAST WEEK’S BEST PERFORMING UTILITY STOCKS</w:t>
      </w:r>
    </w:p>
    <w:p>
      <w:pPr>
        <w:pStyle w:val="BodyText"/>
        <w:rPr>
          <w:b/>
          <w:bCs/>
          <w:i/>
          <w:i/>
          <w:iCs/>
        </w:rPr>
      </w:pPr>
      <w:r>
        <w:rPr>
          <w:b/>
          <w:bCs/>
          <w:i/>
          <w:iCs/>
        </w:rPr>
        <w:t>SIERRA PACIFIC RESOURCES  +2.8%</w:t>
      </w:r>
    </w:p>
    <w:p>
      <w:pPr>
        <w:pStyle w:val="BodyText"/>
        <w:rPr/>
      </w:pPr>
      <w:r>
        <w:rPr/>
        <w:t xml:space="preserve">Reason:  Investors like the relatively high current yield and the fact that Sierra Pacific (SRP-$14.58, rated Strong Buy)[2], being short on capacity, can benefit from predictions of power prices staying low for the long run.  In addition, the company’s cash flow and balance sheet should improve next year when it begins to recover previously incurred purchased power costs.  </w:t>
      </w:r>
    </w:p>
    <w:p>
      <w:pPr>
        <w:pStyle w:val="BodyText"/>
        <w:rPr>
          <w:b/>
          <w:bCs/>
          <w:i/>
          <w:i/>
          <w:iCs/>
        </w:rPr>
      </w:pPr>
      <w:r>
        <w:rPr>
          <w:b/>
          <w:bCs/>
          <w:i/>
          <w:iCs/>
        </w:rPr>
        <w:t>WESTERN RESOURCES  +1.8%</w:t>
      </w:r>
    </w:p>
    <w:p>
      <w:pPr>
        <w:pStyle w:val="BodyText"/>
        <w:rPr/>
      </w:pPr>
      <w:r>
        <w:rPr/>
        <w:t>Reason:  The shares of Western Resources (WR-$17.50, rated Hold)[2] may have been bought by some bottom-fishing investors that are hoping that the company can come up with an alternative plan for a corporate separation that regulators in Kansas will approve.  The company failed in its previous attempts to win regulatory approval for its plan to separate the electric utility business from its non-utility businesses.</w:t>
      </w:r>
    </w:p>
    <w:p>
      <w:pPr>
        <w:pStyle w:val="BodyText"/>
        <w:rPr>
          <w:b/>
          <w:bCs/>
          <w:i/>
          <w:i/>
          <w:iCs/>
        </w:rPr>
      </w:pPr>
      <w:r>
        <w:rPr>
          <w:b/>
          <w:bCs/>
          <w:i/>
          <w:iCs/>
        </w:rPr>
        <w:t>PG&amp;E CORP.  +1.7%</w:t>
      </w:r>
    </w:p>
    <w:p>
      <w:pPr>
        <w:pStyle w:val="BodyText"/>
        <w:rPr/>
      </w:pPr>
      <w:r>
        <w:rPr/>
        <w:t>Reason:  The shares of PG&amp;E Corp. (PCG-$18.30, rated Hold)[2] benefited from optimism that the bankruptcy reorganization plan of its utility subsidiary, Pacific Gas &amp; Electric, could proceed through the bankruptcy court without major delays.</w:t>
      </w:r>
    </w:p>
    <w:p>
      <w:pPr>
        <w:pStyle w:val="BodyText"/>
        <w:rPr>
          <w:b/>
          <w:bCs/>
        </w:rPr>
      </w:pPr>
      <w:r>
        <w:rPr>
          <w:b/>
          <w:bCs/>
        </w:rPr>
        <w:t>LAST WEEK’S WORST PERFORMING UTILITY STOCKS</w:t>
      </w:r>
    </w:p>
    <w:p>
      <w:pPr>
        <w:pStyle w:val="BodyText"/>
        <w:rPr>
          <w:b/>
          <w:bCs/>
          <w:i/>
          <w:i/>
          <w:iCs/>
        </w:rPr>
      </w:pPr>
      <w:r>
        <w:rPr>
          <w:b/>
          <w:bCs/>
          <w:i/>
          <w:iCs/>
        </w:rPr>
        <w:t>ALLEGHENY ENERGY  -7.6%</w:t>
      </w:r>
    </w:p>
    <w:p>
      <w:pPr>
        <w:pStyle w:val="BodyText"/>
        <w:rPr/>
      </w:pPr>
      <w:r>
        <w:rPr/>
        <w:t xml:space="preserve">Reason:  Some investors are concerned that Allegheny Energy's (AYE-$35.70, rated Buy) wholesale energy business may be hurt by the big decline in electricity prices and lower volatility in power markets.  AYE is relying heavily on the wholesale energy business to help meet its earnings growth targets.  </w:t>
      </w:r>
    </w:p>
    <w:p>
      <w:pPr>
        <w:pStyle w:val="BodyText"/>
        <w:rPr>
          <w:b/>
          <w:bCs/>
          <w:i/>
          <w:i/>
          <w:iCs/>
        </w:rPr>
      </w:pPr>
      <w:r>
        <w:rPr>
          <w:b/>
          <w:bCs/>
          <w:i/>
          <w:iCs/>
        </w:rPr>
        <w:t>DUKE ENERGY  -6.2%</w:t>
      </w:r>
    </w:p>
    <w:p>
      <w:pPr>
        <w:pStyle w:val="BodyText"/>
        <w:rPr/>
      </w:pPr>
      <w:r>
        <w:rPr/>
        <w:t xml:space="preserve">Reason:  There was no fundamental reason for the under-performance of the Duke Energy (DUK-$37.20, rated Strong Buy)[2] shares last week.  Duke completed a financing last week of convertible securities and the common stock may have been hurt by some arbitrage swapping, as some investors sold Duke Energy common stock in order to buy the higher yielding convertible security.  </w:t>
      </w:r>
    </w:p>
    <w:p>
      <w:pPr>
        <w:pStyle w:val="BodyText"/>
        <w:rPr>
          <w:b/>
          <w:bCs/>
          <w:i/>
          <w:i/>
          <w:iCs/>
        </w:rPr>
      </w:pPr>
      <w:r>
        <w:rPr>
          <w:b/>
          <w:bCs/>
          <w:i/>
          <w:iCs/>
        </w:rPr>
        <w:t>ENERGY EAST  -5.3%</w:t>
      </w:r>
    </w:p>
    <w:p>
      <w:pPr>
        <w:pStyle w:val="BodyText"/>
        <w:rPr/>
      </w:pPr>
      <w:r>
        <w:rPr/>
        <w:t xml:space="preserve">Reason:  There may have been pressure on the Energy East (EAS-$18.92, rated Strong Buy)[12] shares from investors that are concerned about the company’s pending efforts to reach a new regulatory settlement in New York State.  </w:t>
      </w:r>
    </w:p>
    <w:p>
      <w:pPr>
        <w:pStyle w:val="BodyText"/>
        <w:rPr>
          <w:b/>
          <w:bCs/>
        </w:rPr>
      </w:pPr>
      <w:r>
        <w:rPr>
          <w:b/>
          <w:bCs/>
        </w:rPr>
        <w:t>ANSWER TO HOLIDAY TRIVIA QUIZ</w:t>
      </w:r>
    </w:p>
    <w:p>
      <w:pPr>
        <w:pStyle w:val="BodyText"/>
        <w:rPr/>
      </w:pPr>
      <w:r>
        <w:rPr/>
        <w:t>The two nuclear power plants that remind you of the Thanksgiving Holiday are the Turkey Point power plant and the Pilgrim power plant.</w:t>
      </w:r>
    </w:p>
    <w:p>
      <w:pPr>
        <w:sectPr>
          <w:type w:val="continuous"/>
          <w:pgSz w:w="12240" w:h="15840"/>
          <w:pgMar w:left="720" w:right="720" w:gutter="0" w:header="576" w:top="720" w:footer="360" w:bottom="936"/>
          <w:cols w:num="2" w:space="360" w:equalWidth="true" w:sep="false"/>
          <w:formProt w:val="false"/>
          <w:titlePg/>
          <w:textDirection w:val="lrTb"/>
        </w:sectPr>
      </w:pPr>
    </w:p>
    <w:p>
      <w:pPr>
        <w:pStyle w:val="BodyText"/>
        <w:numPr>
          <w:ilvl w:val="0"/>
          <w:numId w:val="0"/>
        </w:numPr>
        <w:rPr/>
      </w:pPr>
      <w:r>
        <w:rPr/>
      </w:r>
    </w:p>
    <w:p>
      <w:pPr>
        <w:sectPr>
          <w:type w:val="continuous"/>
          <w:pgSz w:w="12240" w:h="15840"/>
          <w:pgMar w:left="720" w:right="720" w:gutter="0" w:header="576" w:top="720" w:footer="360" w:bottom="936"/>
          <w:cols w:num="2" w:space="360" w:equalWidth="true" w:sep="false"/>
          <w:formProt w:val="false"/>
          <w:titlePg/>
          <w:textDirection w:val="lrTb"/>
        </w:sectPr>
      </w:pPr>
    </w:p>
    <w:tbl>
      <w:tblPr>
        <w:tblW w:w="10792" w:type="dxa"/>
        <w:jc w:val="start"/>
        <w:tblInd w:w="0" w:type="dxa"/>
        <w:tblLayout w:type="fixed"/>
        <w:tblCellMar>
          <w:top w:w="0" w:type="dxa"/>
          <w:start w:w="30" w:type="dxa"/>
          <w:bottom w:w="0" w:type="dxa"/>
          <w:end w:w="30" w:type="dxa"/>
        </w:tblCellMar>
      </w:tblPr>
      <w:tblGrid>
        <w:gridCol w:w="2617"/>
        <w:gridCol w:w="681"/>
        <w:gridCol w:w="681"/>
        <w:gridCol w:w="682"/>
        <w:gridCol w:w="681"/>
        <w:gridCol w:w="681"/>
        <w:gridCol w:w="682"/>
        <w:gridCol w:w="681"/>
        <w:gridCol w:w="681"/>
        <w:gridCol w:w="681"/>
        <w:gridCol w:w="682"/>
        <w:gridCol w:w="681"/>
        <w:gridCol w:w="681"/>
      </w:tblGrid>
      <w:tr>
        <w:trPr>
          <w:trHeight w:val="240" w:hRule="exact"/>
        </w:trPr>
        <w:tc>
          <w:tcPr>
            <w:tcW w:w="2617" w:type="dxa"/>
            <w:tcBorders/>
          </w:tcPr>
          <w:p>
            <w:pPr>
              <w:pStyle w:val="Normal"/>
              <w:spacing w:before="0" w:after="120"/>
              <w:rPr>
                <w:rFonts w:ascii="Arial Narrow" w:hAnsi="Arial Narrow" w:eastAsia="Arial Narrow" w:cs="Arial Narrow"/>
                <w:i/>
                <w:i/>
                <w:iCs/>
                <w:color w:val="000000"/>
                <w:lang w:val="en-GB"/>
              </w:rPr>
            </w:pPr>
            <w:r>
              <w:rPr>
                <w:rFonts w:eastAsia="Arial Narrow" w:cs="Arial Narrow" w:ascii="Arial Narrow" w:hAnsi="Arial Narrow"/>
                <w:i/>
                <w:iCs/>
                <w:color w:val="000000"/>
                <w:lang w:val="en-GB"/>
              </w:rPr>
              <w:t>Exhibit 1</w:t>
            </w:r>
          </w:p>
        </w:tc>
        <w:tc>
          <w:tcPr>
            <w:tcW w:w="681" w:type="dxa"/>
            <w:tcBorders/>
          </w:tcPr>
          <w:p>
            <w:pPr>
              <w:pStyle w:val="Normal"/>
              <w:snapToGrid w:val="false"/>
              <w:spacing w:before="0" w:after="120"/>
              <w:jc w:val="end"/>
              <w:rPr>
                <w:rFonts w:ascii="Arial Narrow" w:hAnsi="Arial Narrow" w:eastAsia="Arial Narrow" w:cs="Arial Narrow"/>
                <w:i/>
                <w:i/>
                <w:iCs/>
                <w:color w:val="000000"/>
                <w:lang w:val="en-GB"/>
              </w:rPr>
            </w:pPr>
            <w:r>
              <w:rPr>
                <w:rFonts w:eastAsia="Arial Narrow" w:cs="Arial Narrow" w:ascii="Arial Narrow" w:hAnsi="Arial Narrow"/>
                <w:i/>
                <w:iCs/>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300" w:hRule="exact"/>
        </w:trPr>
        <w:tc>
          <w:tcPr>
            <w:tcW w:w="10111" w:type="dxa"/>
            <w:gridSpan w:val="12"/>
            <w:tcBorders/>
          </w:tcPr>
          <w:p>
            <w:pPr>
              <w:pStyle w:val="Normal"/>
              <w:spacing w:before="0" w:after="120"/>
              <w:rPr>
                <w:rFonts w:ascii="Arial Narrow" w:hAnsi="Arial Narrow" w:eastAsia="Arial Narrow" w:cs="Arial Narrow"/>
                <w:b/>
                <w:bCs/>
                <w:color w:val="000000"/>
                <w:sz w:val="22"/>
                <w:szCs w:val="22"/>
                <w:lang w:val="en-GB"/>
              </w:rPr>
            </w:pPr>
            <w:r>
              <w:rPr>
                <w:rFonts w:eastAsia="Arial Narrow" w:cs="Arial Narrow" w:ascii="Arial Narrow" w:hAnsi="Arial Narrow"/>
                <w:b/>
                <w:bCs/>
                <w:color w:val="000000"/>
                <w:sz w:val="22"/>
                <w:szCs w:val="22"/>
                <w:lang w:val="en-GB"/>
              </w:rPr>
              <w:t>Monthly average of daily high prices for on-peak firm power (Prices in $ per mWh)</w:t>
            </w:r>
          </w:p>
        </w:tc>
        <w:tc>
          <w:tcPr>
            <w:tcW w:w="681" w:type="dxa"/>
            <w:tcBorders/>
          </w:tcPr>
          <w:p>
            <w:pPr>
              <w:pStyle w:val="Normal"/>
              <w:snapToGrid w:val="false"/>
              <w:spacing w:before="0" w:after="120"/>
              <w:jc w:val="end"/>
              <w:rPr>
                <w:rFonts w:ascii="Arial Narrow" w:hAnsi="Arial Narrow" w:eastAsia="Arial Narrow" w:cs="Arial Narrow"/>
                <w:b/>
                <w:bCs/>
                <w:color w:val="000000"/>
                <w:sz w:val="22"/>
                <w:szCs w:val="22"/>
                <w:lang w:val="en-GB"/>
              </w:rPr>
            </w:pPr>
            <w:r>
              <w:rPr>
                <w:rFonts w:eastAsia="Arial Narrow" w:cs="Arial Narrow" w:ascii="Arial Narrow" w:hAnsi="Arial Narrow"/>
                <w:b/>
                <w:bCs/>
                <w:color w:val="000000"/>
                <w:sz w:val="22"/>
                <w:szCs w:val="22"/>
                <w:lang w:val="en-GB"/>
              </w:rPr>
            </w:r>
          </w:p>
        </w:tc>
      </w:tr>
      <w:tr>
        <w:trPr>
          <w:trHeight w:val="240" w:hRule="exact"/>
        </w:trPr>
        <w:tc>
          <w:tcPr>
            <w:tcW w:w="2617" w:type="dxa"/>
            <w:tcBorders>
              <w:bottom w:val="single" w:sz="6" w:space="0" w:color="000000"/>
            </w:tcBorders>
          </w:tcPr>
          <w:p>
            <w:pPr>
              <w:pStyle w:val="Normal"/>
              <w:snapToGrid w:val="false"/>
              <w:spacing w:before="0" w:after="120"/>
              <w:jc w:val="center"/>
              <w:rPr>
                <w:rFonts w:ascii="Arial Narrow" w:hAnsi="Arial Narrow" w:eastAsia="Arial Narrow" w:cs="Arial Narrow"/>
                <w:b/>
                <w:bCs/>
                <w:color w:val="000000"/>
                <w:sz w:val="22"/>
                <w:szCs w:val="22"/>
                <w:lang w:val="en-GB"/>
              </w:rPr>
            </w:pPr>
            <w:r>
              <w:rPr>
                <w:rFonts w:eastAsia="Arial Narrow" w:cs="Arial Narrow" w:ascii="Arial Narrow" w:hAnsi="Arial Narrow"/>
                <w:b/>
                <w:bCs/>
                <w:color w:val="000000"/>
                <w:sz w:val="22"/>
                <w:szCs w:val="22"/>
                <w:lang w:val="en-GB"/>
              </w:rPr>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01/00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02/00</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03/00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04/00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05/00</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06/00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07/00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08/00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09/00</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10/00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11/00</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12/00</w:t>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Northeast</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50.0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42.2</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32.9</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36.4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66.7</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87.0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56.2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60.0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53.3</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62.6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58.8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95.6</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Western New York</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36.9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34.1</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35.0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41.6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45.1</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65.5</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Hudson Valley New York</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39.7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37.2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55.8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68.9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60.7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77.7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55.6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63.7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61.8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79.3</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New York City</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82.0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64.8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68.2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64.6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91.8</w:t>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PJM</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34.2</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28.1</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63.3</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41.8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54.5</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32.8</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41.8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46.5</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73.1</w:t>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Southern Company</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27.9</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54.9</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74.4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84.2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38.2</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43.9</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75.1</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SPP</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34.0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56.4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64.8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79.6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39.0</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93.4</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ERCOT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26.3</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36.1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84.4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49.8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95.6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57.5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60.3</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81.6</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(Entergy)</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37.3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69.2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58.6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80.6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89.6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43.0</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49.5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89.5</w:t>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(AEP)</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26.9</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29.6</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36.1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62.2</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53.9</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61.8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28.0</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40.1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47.4</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83.0</w:t>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(Cinergy)</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24.8</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25.9</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56.8</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42.5</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45.9</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55.2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24.8</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37.1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46.3</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82.5</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MAIN</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58.3</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69.9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41.2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49.2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91.4</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MAPP</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52.0</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66.8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79.9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35.6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50.0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104.6</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Four Corners</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30.7</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37.3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81.0</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199.8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192.1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227.7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145.2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91.7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137.8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269.7</w:t>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Palo Verde</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30.7</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31.7</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40.3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83.2</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198.1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198.6</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230.0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150.9</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94.5</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139.7</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298.0</w:t>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Mid-Columbia</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27.2</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29.3</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69.3</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213.7</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153.3</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218.1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147.9</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107.4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187.1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615.8</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California-Oregon Border</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30.7</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68.6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207.3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159.7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212.0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153.6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113.6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188.8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596.3</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Southern Path California</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74.4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176.9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182.0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202.7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141.3</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93.1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152.2</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285.9</w:t>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Northern Path California</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63.6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174.5</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155.6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184.0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141.4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111.7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174.4</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375.2</w:t>
            </w:r>
          </w:p>
        </w:tc>
      </w:tr>
      <w:tr>
        <w:trPr>
          <w:trHeight w:val="60" w:hRule="exact"/>
        </w:trPr>
        <w:tc>
          <w:tcPr>
            <w:tcW w:w="261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617" w:type="dxa"/>
            <w:tcBorders>
              <w:bottom w:val="single" w:sz="6" w:space="0" w:color="000000"/>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01/01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02/01</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03/01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04/01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05/01</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06/01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07/01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08/01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09/01</w:t>
            </w:r>
          </w:p>
        </w:tc>
        <w:tc>
          <w:tcPr>
            <w:tcW w:w="682"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10/01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11/01</w:t>
            </w:r>
          </w:p>
        </w:tc>
        <w:tc>
          <w:tcPr>
            <w:tcW w:w="68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12/01</w:t>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Northeast</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73.7</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51.0</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55.8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53.0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60.1</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50.8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45.5</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99.3</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39.8</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36.6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35.2</w:t>
            </w:r>
          </w:p>
        </w:tc>
        <w:tc>
          <w:tcPr>
            <w:tcW w:w="681" w:type="dxa"/>
            <w:tcBorders>
              <w:top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Western New York</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40.4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44.6</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40.9</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62.1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32.6</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28.7</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Hudson Valley New York</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66.8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51.0</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58.3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56.9</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58.5</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61.2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54.2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78.3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37.1</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34.4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35.7</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New York City</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69.7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56.2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62.0</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66.3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68.3</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71.1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61.0</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85.6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39.7</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35.8</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39.7</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PJM</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50.6</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38.9</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45.7</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51.3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41.8</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44.9</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73.4</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28.1</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24.3</w:t>
            </w:r>
          </w:p>
        </w:tc>
        <w:tc>
          <w:tcPr>
            <w:tcW w:w="681" w:type="dxa"/>
            <w:tcBorders>
              <w:bottom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Southern Company</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61.6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43.4</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56.7</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42.2</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47.2</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29.7</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26.3</w:t>
            </w:r>
          </w:p>
        </w:tc>
        <w:tc>
          <w:tcPr>
            <w:tcW w:w="681" w:type="dxa"/>
            <w:tcBorders>
              <w:top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SPP</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59.9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46.3</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57.2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41.0</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46.1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20.0</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21.4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23.9</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ERCOT</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75.0</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48.1</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46.8</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51.5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44.7</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39.6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41.0</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20.8</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23.5</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(Entergy)</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61.9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59.3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43.6</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20.0</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21.4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24.2</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(AEP)</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40.8</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53.1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37.4</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42.4</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48.0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24.7</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26.2</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25.8</w:t>
            </w:r>
          </w:p>
        </w:tc>
        <w:tc>
          <w:tcPr>
            <w:tcW w:w="681" w:type="dxa"/>
            <w:tcBorders>
              <w:bottom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(Cinergy)</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50.9</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38.9</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53.7</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36.4</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41.1</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41.3</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46.0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22.3</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23.9</w:t>
            </w:r>
          </w:p>
        </w:tc>
        <w:tc>
          <w:tcPr>
            <w:tcW w:w="681" w:type="dxa"/>
            <w:tcBorders>
              <w:top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MAIN</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56.1</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43.2</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45.8</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54.2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38.0</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21.5</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23.1</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MAPP</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58.6</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47.1</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48.0</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56.1</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41.8</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43.9</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48.6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22.3</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24.2</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Four Corners</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230.7</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239.6</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239.7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237.6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262.3</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84.5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63.6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50.7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28.3</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25.8</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Palo Verde</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250.3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245.9</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251.6</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242.8</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293.9</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94.0</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65.3</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51.1</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29.7</w:t>
            </w:r>
          </w:p>
        </w:tc>
        <w:tc>
          <w:tcPr>
            <w:tcW w:w="682"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28.2</w:t>
            </w:r>
          </w:p>
        </w:tc>
        <w:tc>
          <w:tcPr>
            <w:tcW w:w="681" w:type="dxa"/>
            <w:tcBorders>
              <w:bottom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26.4</w:t>
            </w:r>
          </w:p>
        </w:tc>
        <w:tc>
          <w:tcPr>
            <w:tcW w:w="681" w:type="dxa"/>
            <w:tcBorders>
              <w:bottom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op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Mid-Columbia</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302.7</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298.6</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331.4</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293.4</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74.0</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59.8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24.1</w:t>
            </w:r>
          </w:p>
        </w:tc>
        <w:tc>
          <w:tcPr>
            <w:tcW w:w="682"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w:t>
            </w:r>
          </w:p>
        </w:tc>
        <w:tc>
          <w:tcPr>
            <w:tcW w:w="681" w:type="dxa"/>
            <w:tcBorders>
              <w:top w:val="single" w:sz="6" w:space="0" w:color="000000"/>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24.9</w:t>
            </w:r>
          </w:p>
        </w:tc>
        <w:tc>
          <w:tcPr>
            <w:tcW w:w="681" w:type="dxa"/>
            <w:tcBorders>
              <w:top w:val="single" w:sz="6" w:space="0" w:color="000000"/>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California-Oregon Border</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316.3</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313.1</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304.6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325.7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278.2</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74.6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59.4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24.9</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27.8</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27.2</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Southern Path California</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232.8</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248.8</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254.5</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241.0</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274.6</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83.3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58.6</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28.3</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28.7</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2617"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Northern Path California</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274.9</w:t>
            </w:r>
          </w:p>
        </w:tc>
        <w:tc>
          <w:tcPr>
            <w:tcW w:w="68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284.4</w:t>
            </w:r>
          </w:p>
        </w:tc>
        <w:tc>
          <w:tcPr>
            <w:tcW w:w="682"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269.7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289.7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292.2</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81.2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58.4</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45.7</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27.1</w:t>
            </w:r>
          </w:p>
        </w:tc>
        <w:tc>
          <w:tcPr>
            <w:tcW w:w="682"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28.2</w:t>
            </w:r>
          </w:p>
        </w:tc>
        <w:tc>
          <w:tcPr>
            <w:tcW w:w="681"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29.4</w:t>
            </w:r>
          </w:p>
        </w:tc>
        <w:tc>
          <w:tcPr>
            <w:tcW w:w="6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60" w:hRule="exact"/>
        </w:trPr>
        <w:tc>
          <w:tcPr>
            <w:tcW w:w="261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617" w:type="dxa"/>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color w:val="000000"/>
                <w:lang w:val="en-GB"/>
              </w:rPr>
              <w:t>Source: Bloomberg</w:t>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8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bl>
    <w:p>
      <w:pPr>
        <w:pStyle w:val="BodyText"/>
        <w:rPr/>
      </w:pPr>
      <w:r>
        <w:rPr/>
      </w:r>
    </w:p>
    <w:tbl>
      <w:tblPr>
        <w:tblW w:w="10428" w:type="dxa"/>
        <w:jc w:val="start"/>
        <w:tblInd w:w="0" w:type="dxa"/>
        <w:tblLayout w:type="fixed"/>
        <w:tblCellMar>
          <w:top w:w="0" w:type="dxa"/>
          <w:start w:w="30" w:type="dxa"/>
          <w:bottom w:w="0" w:type="dxa"/>
          <w:end w:w="30" w:type="dxa"/>
        </w:tblCellMar>
      </w:tblPr>
      <w:tblGrid>
        <w:gridCol w:w="2616"/>
        <w:gridCol w:w="651"/>
        <w:gridCol w:w="651"/>
        <w:gridCol w:w="651"/>
        <w:gridCol w:w="651"/>
        <w:gridCol w:w="651"/>
        <w:gridCol w:w="651"/>
        <w:gridCol w:w="651"/>
        <w:gridCol w:w="651"/>
        <w:gridCol w:w="651"/>
        <w:gridCol w:w="651"/>
        <w:gridCol w:w="651"/>
        <w:gridCol w:w="651"/>
      </w:tblGrid>
      <w:tr>
        <w:trPr>
          <w:trHeight w:val="240" w:hRule="exact"/>
        </w:trPr>
        <w:tc>
          <w:tcPr>
            <w:tcW w:w="2616" w:type="dxa"/>
            <w:tcBorders/>
          </w:tcPr>
          <w:p>
            <w:pPr>
              <w:pStyle w:val="Normal"/>
              <w:spacing w:before="0" w:after="120"/>
              <w:rPr>
                <w:rFonts w:ascii="Arial Narrow" w:hAnsi="Arial Narrow" w:eastAsia="Arial Narrow" w:cs="Arial Narrow"/>
                <w:i/>
                <w:i/>
                <w:iCs/>
                <w:color w:val="000000"/>
                <w:lang w:val="en-GB"/>
              </w:rPr>
            </w:pPr>
            <w:r>
              <w:rPr>
                <w:rFonts w:eastAsia="Arial Narrow" w:cs="Arial Narrow" w:ascii="Arial Narrow" w:hAnsi="Arial Narrow"/>
                <w:i/>
                <w:iCs/>
                <w:color w:val="000000"/>
                <w:lang w:val="en-GB"/>
              </w:rPr>
              <w:t>Exhibit 2</w:t>
            </w:r>
          </w:p>
        </w:tc>
        <w:tc>
          <w:tcPr>
            <w:tcW w:w="651" w:type="dxa"/>
            <w:tcBorders/>
          </w:tcPr>
          <w:p>
            <w:pPr>
              <w:pStyle w:val="Normal"/>
              <w:snapToGrid w:val="false"/>
              <w:spacing w:before="0" w:after="120"/>
              <w:jc w:val="end"/>
              <w:rPr>
                <w:rFonts w:ascii="Arial Narrow" w:hAnsi="Arial Narrow" w:eastAsia="Arial Narrow" w:cs="Arial Narrow"/>
                <w:i/>
                <w:i/>
                <w:iCs/>
                <w:color w:val="000000"/>
                <w:lang w:val="en-GB"/>
              </w:rPr>
            </w:pPr>
            <w:r>
              <w:rPr>
                <w:rFonts w:eastAsia="Arial Narrow" w:cs="Arial Narrow" w:ascii="Arial Narrow" w:hAnsi="Arial Narrow"/>
                <w:i/>
                <w:iCs/>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300" w:hRule="exact"/>
        </w:trPr>
        <w:tc>
          <w:tcPr>
            <w:tcW w:w="9777" w:type="dxa"/>
            <w:gridSpan w:val="12"/>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b/>
                <w:bCs/>
                <w:color w:val="000000"/>
                <w:sz w:val="22"/>
                <w:szCs w:val="22"/>
                <w:lang w:val="en-GB"/>
              </w:rPr>
              <w:t>Electricity futures prices for on-peak power (Prices in $ per mWh)</w:t>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616" w:type="dxa"/>
            <w:tcBorders>
              <w:bottom w:val="single" w:sz="6" w:space="0" w:color="000000"/>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11/01</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12/01</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01/02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02/02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03/02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04/02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05/02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06/02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07/02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08/02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09/02</w:t>
            </w:r>
          </w:p>
        </w:tc>
        <w:tc>
          <w:tcPr>
            <w:tcW w:w="651" w:type="dxa"/>
            <w:tcBorders>
              <w:bottom w:val="single" w:sz="6" w:space="0" w:color="000000"/>
            </w:tcBorders>
          </w:tcPr>
          <w:p>
            <w:pPr>
              <w:pStyle w:val="Normal"/>
              <w:spacing w:before="0" w:after="120"/>
              <w:jc w:val="center"/>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10/02</w:t>
            </w:r>
          </w:p>
        </w:tc>
      </w:tr>
      <w:tr>
        <w:trPr>
          <w:trHeight w:val="240" w:hRule="exact"/>
        </w:trPr>
        <w:tc>
          <w:tcPr>
            <w:tcW w:w="2616"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PJM</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28.6</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29.6</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29.6</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54.5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54.5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28.8</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28.7</w:t>
            </w:r>
          </w:p>
        </w:tc>
      </w:tr>
      <w:tr>
        <w:trPr>
          <w:trHeight w:val="240" w:hRule="exact"/>
        </w:trPr>
        <w:tc>
          <w:tcPr>
            <w:tcW w:w="2616"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(Entergy)</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23.1</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24.4</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24.4</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33.5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42.5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23.2</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24.5</w:t>
            </w:r>
          </w:p>
        </w:tc>
      </w:tr>
      <w:tr>
        <w:trPr>
          <w:trHeight w:val="240" w:hRule="exact"/>
        </w:trPr>
        <w:tc>
          <w:tcPr>
            <w:tcW w:w="2616" w:type="dxa"/>
            <w:tcBorders>
              <w:bottom w:val="single" w:sz="6" w:space="0" w:color="000000"/>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Midwest (Cinergy)</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25.9</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25.4</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27.6</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27.6</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25.8</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25.8</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27.8</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27.5</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48.8</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48.8</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25.5</w:t>
            </w:r>
          </w:p>
        </w:tc>
        <w:tc>
          <w:tcPr>
            <w:tcW w:w="651" w:type="dxa"/>
            <w:tcBorders>
              <w:bottom w:val="single" w:sz="6" w:space="0" w:color="000000"/>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26.1</w:t>
            </w:r>
          </w:p>
        </w:tc>
      </w:tr>
      <w:tr>
        <w:trPr>
          <w:trHeight w:val="240" w:hRule="exact"/>
        </w:trPr>
        <w:tc>
          <w:tcPr>
            <w:tcW w:w="2616"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Palo Verde</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32.3</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26.3</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28.9</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28.7</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28.7</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31.8</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40.5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53.3</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59.5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46.8</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38.3</w:t>
            </w:r>
          </w:p>
        </w:tc>
      </w:tr>
      <w:tr>
        <w:trPr>
          <w:trHeight w:val="240" w:hRule="exact"/>
        </w:trPr>
        <w:tc>
          <w:tcPr>
            <w:tcW w:w="2616"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Mid-Columbia</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34.3</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w:t>
            </w:r>
          </w:p>
        </w:tc>
      </w:tr>
      <w:tr>
        <w:trPr>
          <w:trHeight w:val="240" w:hRule="exact"/>
        </w:trPr>
        <w:tc>
          <w:tcPr>
            <w:tcW w:w="2616"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California-Oregon Border</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34.5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31.5</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32.0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31.3</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29.0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28.0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30.0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45.0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51.0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44.0</w:t>
            </w:r>
          </w:p>
        </w:tc>
        <w:tc>
          <w:tcPr>
            <w:tcW w:w="651"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38.0</w:t>
            </w:r>
          </w:p>
        </w:tc>
      </w:tr>
      <w:tr>
        <w:trPr>
          <w:trHeight w:val="60" w:hRule="exact"/>
        </w:trPr>
        <w:tc>
          <w:tcPr>
            <w:tcW w:w="2616"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616" w:type="dxa"/>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color w:val="000000"/>
                <w:lang w:val="en-GB"/>
              </w:rPr>
              <w:t>Source: Bloomberg</w:t>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651"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bl>
    <w:p>
      <w:pPr>
        <w:sectPr>
          <w:type w:val="nextPage"/>
          <w:pgSz w:w="12240" w:h="15840"/>
          <w:pgMar w:left="720" w:right="720" w:gutter="0" w:header="0" w:top="720" w:footer="0" w:bottom="936"/>
          <w:pgNumType w:fmt="decimal"/>
          <w:formProt w:val="false"/>
          <w:textDirection w:val="lrTb"/>
        </w:sectPr>
        <w:pStyle w:val="BodyText"/>
        <w:rPr/>
      </w:pPr>
      <w:r>
        <w:rPr/>
      </w:r>
    </w:p>
    <w:tbl>
      <w:tblPr>
        <w:tblW w:w="5315" w:type="dxa"/>
        <w:jc w:val="start"/>
        <w:tblInd w:w="0" w:type="dxa"/>
        <w:tblLayout w:type="fixed"/>
        <w:tblCellMar>
          <w:top w:w="0" w:type="dxa"/>
          <w:start w:w="30" w:type="dxa"/>
          <w:bottom w:w="0" w:type="dxa"/>
          <w:end w:w="30" w:type="dxa"/>
        </w:tblCellMar>
      </w:tblPr>
      <w:tblGrid>
        <w:gridCol w:w="2092"/>
        <w:gridCol w:w="957"/>
        <w:gridCol w:w="1197"/>
        <w:gridCol w:w="1069"/>
      </w:tblGrid>
      <w:tr>
        <w:trPr>
          <w:trHeight w:val="300" w:hRule="exact"/>
        </w:trPr>
        <w:tc>
          <w:tcPr>
            <w:tcW w:w="3049" w:type="dxa"/>
            <w:gridSpan w:val="2"/>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b/>
                <w:bCs/>
                <w:color w:val="000000"/>
                <w:lang w:val="en-GB"/>
              </w:rPr>
              <w:t>2002 P/E Ratios</w:t>
            </w:r>
          </w:p>
        </w:tc>
        <w:tc>
          <w:tcPr>
            <w:tcW w:w="119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069" w:type="dxa"/>
            <w:tcBorders/>
          </w:tcPr>
          <w:p>
            <w:pPr>
              <w:pStyle w:val="Normal"/>
              <w:snapToGrid w:val="false"/>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09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957" w:type="dxa"/>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color w:val="000000"/>
                <w:lang w:val="en-GB"/>
              </w:rPr>
              <w:t>Price</w:t>
            </w:r>
          </w:p>
        </w:tc>
        <w:tc>
          <w:tcPr>
            <w:tcW w:w="1197" w:type="dxa"/>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color w:val="000000"/>
                <w:lang w:val="en-GB"/>
              </w:rPr>
              <w:t>2002 EPS</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2002 P/E</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SO</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$23.60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13.49</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GXP</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$24.70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13.35</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DUK</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$37.20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$2.90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12.83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WPS</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$34.66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$2.75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12.60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AEE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$40.61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$3.25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12.50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CNL</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$20.40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$1.65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12.36</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$59.87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$4.95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12.09</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DPL</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$23.47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$1.95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12.04</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NRG</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$20.22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$1.69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11.96</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OGE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$22.07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11.93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CIV</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$23.74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11.87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NST</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$43.35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$3.75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11.56</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NU</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$17.85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$1.55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11.52</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HE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$37.41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$3.25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11.51</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ED</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$38.73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$3.40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11.39</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XEL</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$28.69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$2.52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11.38</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VVC</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$22.60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11.30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CMS</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$22.57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11.29</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ETR</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$38.19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$3.40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11.23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AEP</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$43.00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$3.85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11.17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IDA</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$37.89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$3.40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11.14</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DQE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$17.64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$1.60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11.03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FPL</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$54.60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$5.00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10.92</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LNT</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$28.27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$2.60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10.87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SCG</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$26.83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$2.50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10.73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CIN</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$31.40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$2.95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10.64</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PNW</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$41.88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10.47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DTE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$41.07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10.27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PGN</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$41.69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$4.10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10.17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PEG</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$40.01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10.00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WR</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$17.50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10.00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MDU</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$24.75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$2.50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9.90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TXU</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$47.40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$4.90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9.67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EXC</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$42.85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$4.45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9.63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REI</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$27.04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$2.90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9.32</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FE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$34.45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$3.71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9.29</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WEC</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$22.55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$2.45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9.20</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NI</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$19.95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$2.25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8.87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UNS</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$16.35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8.84</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POM</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$20.98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$2.39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8.78</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PNM</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$26.32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8.77</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PPL</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$35.32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$4.10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8.61</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SRP</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$14.58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$1.75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8.33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AYE</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$35.70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$4.40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8.11</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EAS</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$18.92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$2.45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7.72</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CEG</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$25.05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$3.25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7.71</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EIX</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$14.85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$2.00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7.43</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PCG</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$18.30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$2.90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6.31</w:t>
            </w:r>
          </w:p>
        </w:tc>
      </w:tr>
      <w:tr>
        <w:trPr>
          <w:trHeight w:val="240" w:hRule="exact"/>
        </w:trPr>
        <w:tc>
          <w:tcPr>
            <w:tcW w:w="2092"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NMK</w:t>
            </w:r>
          </w:p>
        </w:tc>
        <w:tc>
          <w:tcPr>
            <w:tcW w:w="95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$18.00 </w:t>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 xml:space="preserve">$0.25 </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NM</w:t>
            </w:r>
          </w:p>
        </w:tc>
      </w:tr>
      <w:tr>
        <w:trPr>
          <w:trHeight w:val="60" w:hRule="exact"/>
        </w:trPr>
        <w:tc>
          <w:tcPr>
            <w:tcW w:w="2092"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57"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97"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069" w:type="dxa"/>
            <w:tcBorders/>
          </w:tcPr>
          <w:p>
            <w:pPr>
              <w:pStyle w:val="Normal"/>
              <w:snapToGrid w:val="false"/>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209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95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Median</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10.80</w:t>
            </w:r>
          </w:p>
        </w:tc>
      </w:tr>
      <w:tr>
        <w:trPr>
          <w:trHeight w:val="240" w:hRule="exact"/>
        </w:trPr>
        <w:tc>
          <w:tcPr>
            <w:tcW w:w="2092"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95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197" w:type="dxa"/>
            <w:tcBorders/>
          </w:tcPr>
          <w:p>
            <w:pPr>
              <w:pStyle w:val="Normal"/>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t>Mean</w:t>
            </w:r>
          </w:p>
        </w:tc>
        <w:tc>
          <w:tcPr>
            <w:tcW w:w="1069" w:type="dxa"/>
            <w:tcBorders/>
          </w:tcPr>
          <w:p>
            <w:pPr>
              <w:pStyle w:val="Normal"/>
              <w:spacing w:before="0" w:after="120"/>
              <w:jc w:val="center"/>
              <w:rPr>
                <w:rFonts w:ascii="Arial Narrow" w:hAnsi="Arial Narrow" w:eastAsia="Arial Narrow" w:cs="Arial Narrow"/>
                <w:color w:val="000000"/>
                <w:lang w:val="en-GB"/>
              </w:rPr>
            </w:pPr>
            <w:r>
              <w:rPr>
                <w:rFonts w:eastAsia="Arial Narrow" w:cs="Arial Narrow" w:ascii="Arial Narrow" w:hAnsi="Arial Narrow"/>
                <w:color w:val="000000"/>
                <w:lang w:val="en-GB"/>
              </w:rPr>
              <w:t>10.46</w:t>
            </w:r>
          </w:p>
        </w:tc>
      </w:tr>
      <w:tr>
        <w:trPr>
          <w:trHeight w:val="240" w:hRule="exact"/>
        </w:trPr>
        <w:tc>
          <w:tcPr>
            <w:tcW w:w="3049" w:type="dxa"/>
            <w:gridSpan w:val="2"/>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color w:val="000000"/>
                <w:lang w:val="en-GB"/>
              </w:rPr>
              <w:t>Source: UBS Warburg estimates.</w:t>
            </w:r>
          </w:p>
        </w:tc>
        <w:tc>
          <w:tcPr>
            <w:tcW w:w="0" w:type="dxa"/>
            <w:vMerge w:val="continue"/>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197"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069"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bl>
    <w:p>
      <w:pPr>
        <w:pStyle w:val="BodyText"/>
        <w:rPr/>
      </w:pPr>
      <w:r>
        <w:rPr/>
      </w:r>
    </w:p>
    <w:tbl>
      <w:tblPr>
        <w:tblW w:w="4262" w:type="dxa"/>
        <w:jc w:val="start"/>
        <w:tblInd w:w="0" w:type="dxa"/>
        <w:tblLayout w:type="fixed"/>
        <w:tblCellMar>
          <w:top w:w="0" w:type="dxa"/>
          <w:start w:w="30" w:type="dxa"/>
          <w:bottom w:w="0" w:type="dxa"/>
          <w:end w:w="30" w:type="dxa"/>
        </w:tblCellMar>
      </w:tblPr>
      <w:tblGrid>
        <w:gridCol w:w="706"/>
        <w:gridCol w:w="1180"/>
        <w:gridCol w:w="1181"/>
        <w:gridCol w:w="216"/>
        <w:gridCol w:w="979"/>
      </w:tblGrid>
      <w:tr>
        <w:trPr>
          <w:trHeight w:val="300" w:hRule="exact"/>
        </w:trPr>
        <w:tc>
          <w:tcPr>
            <w:tcW w:w="1886" w:type="dxa"/>
            <w:gridSpan w:val="2"/>
            <w:tcBorders/>
          </w:tcPr>
          <w:p>
            <w:pPr>
              <w:pStyle w:val="Normal"/>
              <w:spacing w:before="0" w:after="120"/>
              <w:rPr>
                <w:rFonts w:ascii="Arial Narrow" w:hAnsi="Arial Narrow" w:eastAsia="Arial Narrow" w:cs="Arial Narrow"/>
                <w:b/>
                <w:bCs/>
                <w:color w:val="000000"/>
                <w:sz w:val="18"/>
                <w:szCs w:val="18"/>
                <w:lang w:val="en-GB"/>
              </w:rPr>
            </w:pPr>
            <w:r>
              <w:rPr>
                <w:rFonts w:eastAsia="Arial Narrow" w:cs="Arial Narrow" w:ascii="Arial Narrow" w:hAnsi="Arial Narrow"/>
                <w:b/>
                <w:bCs/>
                <w:color w:val="000000"/>
                <w:sz w:val="18"/>
                <w:szCs w:val="18"/>
                <w:lang w:val="en-GB"/>
              </w:rPr>
              <w:t>Year to date return</w:t>
            </w:r>
          </w:p>
        </w:tc>
        <w:tc>
          <w:tcPr>
            <w:tcW w:w="0" w:type="dxa"/>
            <w:vMerge w:val="continue"/>
            <w:tcBorders/>
          </w:tcPr>
          <w:p>
            <w:pPr>
              <w:pStyle w:val="Normal"/>
              <w:snapToGrid w:val="false"/>
              <w:spacing w:before="0" w:after="120"/>
              <w:jc w:val="end"/>
              <w:rPr>
                <w:rFonts w:ascii="Arial Narrow" w:hAnsi="Arial Narrow" w:eastAsia="Arial Narrow" w:cs="Arial Narrow"/>
                <w:b/>
                <w:bCs/>
                <w:color w:val="000000"/>
                <w:sz w:val="18"/>
                <w:szCs w:val="18"/>
                <w:lang w:val="en-GB"/>
              </w:rPr>
            </w:pPr>
            <w:r>
              <w:rPr>
                <w:rFonts w:eastAsia="Arial Narrow" w:cs="Arial Narrow" w:ascii="Arial Narrow" w:hAnsi="Arial Narrow"/>
                <w:b/>
                <w:bCs/>
                <w:color w:val="000000"/>
                <w:sz w:val="18"/>
                <w:szCs w:val="18"/>
                <w:lang w:val="en-GB"/>
              </w:rPr>
            </w:r>
          </w:p>
        </w:tc>
        <w:tc>
          <w:tcPr>
            <w:tcW w:w="11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70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2361" w:type="dxa"/>
            <w:gridSpan w:val="2"/>
            <w:tcBorders>
              <w:bottom w:val="single" w:sz="6" w:space="0" w:color="000000"/>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 xml:space="preserve">Price on </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Year to date return</w:t>
            </w:r>
          </w:p>
        </w:tc>
      </w:tr>
      <w:tr>
        <w:trPr>
          <w:trHeight w:val="240" w:hRule="exact"/>
        </w:trPr>
        <w:tc>
          <w:tcPr>
            <w:tcW w:w="70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80" w:type="dxa"/>
            <w:tcBorders>
              <w:top w:val="single" w:sz="6" w:space="0" w:color="000000"/>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12/31/00</w:t>
            </w:r>
          </w:p>
        </w:tc>
        <w:tc>
          <w:tcPr>
            <w:tcW w:w="1181" w:type="dxa"/>
            <w:tcBorders>
              <w:top w:val="single" w:sz="6" w:space="0" w:color="000000"/>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11/16/01</w:t>
            </w:r>
          </w:p>
        </w:tc>
        <w:tc>
          <w:tcPr>
            <w:tcW w:w="216" w:type="dxa"/>
            <w:tcBorders/>
          </w:tcPr>
          <w:p>
            <w:pPr>
              <w:pStyle w:val="Normal"/>
              <w:snapToGrid w:val="false"/>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napToGrid w:val="false"/>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CIV</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20.06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23.74</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SO</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33.25</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23.60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22.0%</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GPU</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36.81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40.39</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15.5%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FE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31.56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34.45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14.7%</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TXU</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44.31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47.40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11.3%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DTE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38.94</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41.07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9.4%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NMK</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16.69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18.00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7.9%</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HE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37.19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37.41</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ED</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38.50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38.73</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NST</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42.88</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43.35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WEC</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22.56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22.55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3.6%</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XEL</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29.06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28.69</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PNM</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26.32</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1.0%</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EAS</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19.69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18.92</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0.6%</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WPS</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36.81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34.66</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ALE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23.16</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AEP</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46.50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43.00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OGE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24.44</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22.07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EIX</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15.63</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14.85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-5.0%</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LNT</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31.88</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28.27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CIN</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35.13</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31.40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GXP</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27.44</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24.70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SCG</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29.56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26.83</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SRP</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16.06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14.58</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-6.6%</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ETR</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42.31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38.19</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-6.7%</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VVC</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25.63</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22.60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67.00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59.87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-7.9%</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AEE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46.31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40.61</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PCG</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20.00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18.30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PNW</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20.00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18.30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-8.5%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DUK</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42.63</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37.20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-10.3%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PGN</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49.19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41.69</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-11.1%</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UNS</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18.81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16.35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-11.3%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POM</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24.71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20.98</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-11.5%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TE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32.38</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26.57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-13.9%</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PEG</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48.63</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40.01</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-14.8%</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IDA</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49.06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37.89</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-19.0%</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PPL</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45.19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35.32</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FPL</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71.75</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54.60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-21.7%</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MDU</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32.50</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24.75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-22.1%</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CNL</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27.38</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20.40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-22.5%</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AYE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48.19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35.70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-23.1%</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CMS</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31.69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22.57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-24.7%</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NU</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24.25</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17.85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WR</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24.81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17.50</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-26.4%</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DPL</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33.19</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23.47</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-26.8%</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NI</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30.75</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19.95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-32.2%</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REI</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43.31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27.04</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-34.8%</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EXC</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70.21</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42.85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-37.0%</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DQE</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32.75</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17.64</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-43.3%</w:t>
            </w:r>
          </w:p>
        </w:tc>
      </w:tr>
      <w:tr>
        <w:trPr>
          <w:trHeight w:val="240" w:hRule="exact"/>
        </w:trPr>
        <w:tc>
          <w:tcPr>
            <w:tcW w:w="706"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CEG</w:t>
            </w:r>
          </w:p>
        </w:tc>
        <w:tc>
          <w:tcPr>
            <w:tcW w:w="1180"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45.06</w:t>
            </w:r>
          </w:p>
        </w:tc>
        <w:tc>
          <w:tcPr>
            <w:tcW w:w="1181" w:type="dxa"/>
            <w:tcBorders/>
          </w:tcPr>
          <w:p>
            <w:pPr>
              <w:pStyle w:val="Normal"/>
              <w:spacing w:before="0" w:after="120"/>
              <w:jc w:val="center"/>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25.05</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-43.9%</w:t>
            </w:r>
          </w:p>
        </w:tc>
      </w:tr>
      <w:tr>
        <w:trPr>
          <w:trHeight w:val="60" w:hRule="exact"/>
        </w:trPr>
        <w:tc>
          <w:tcPr>
            <w:tcW w:w="70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80"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81"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r>
      <w:tr>
        <w:trPr>
          <w:trHeight w:val="240" w:hRule="exact"/>
        </w:trPr>
        <w:tc>
          <w:tcPr>
            <w:tcW w:w="70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80"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1181" w:type="dxa"/>
            <w:tcBorders/>
          </w:tcPr>
          <w:p>
            <w:pPr>
              <w:pStyle w:val="Normal"/>
              <w:spacing w:before="0" w:after="120"/>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Median</w:t>
            </w:r>
          </w:p>
        </w:tc>
        <w:tc>
          <w:tcPr>
            <w:tcW w:w="216" w:type="dxa"/>
            <w:tcBorders/>
          </w:tcPr>
          <w:p>
            <w:pPr>
              <w:pStyle w:val="Normal"/>
              <w:snapToGrid w:val="false"/>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r>
          </w:p>
        </w:tc>
        <w:tc>
          <w:tcPr>
            <w:tcW w:w="979" w:type="dxa"/>
            <w:tcBorders/>
          </w:tcPr>
          <w:p>
            <w:pPr>
              <w:pStyle w:val="Normal"/>
              <w:spacing w:before="0" w:after="120"/>
              <w:jc w:val="end"/>
              <w:rPr>
                <w:rFonts w:ascii="Arial Narrow" w:hAnsi="Arial Narrow" w:eastAsia="Arial Narrow" w:cs="Arial Narrow"/>
                <w:color w:val="000000"/>
                <w:sz w:val="18"/>
                <w:szCs w:val="18"/>
                <w:lang w:val="en-GB"/>
              </w:rPr>
            </w:pPr>
            <w:r>
              <w:rPr>
                <w:rFonts w:eastAsia="Arial Narrow" w:cs="Arial Narrow" w:ascii="Arial Narrow" w:hAnsi="Arial Narrow"/>
                <w:color w:val="000000"/>
                <w:sz w:val="18"/>
                <w:szCs w:val="18"/>
                <w:lang w:val="en-GB"/>
              </w:rPr>
              <w:t>-7.5%</w:t>
            </w:r>
          </w:p>
        </w:tc>
      </w:tr>
      <w:tr>
        <w:trPr>
          <w:trHeight w:val="240" w:hRule="exact"/>
        </w:trPr>
        <w:tc>
          <w:tcPr>
            <w:tcW w:w="706" w:type="dxa"/>
            <w:tcBorders/>
          </w:tcPr>
          <w:p>
            <w:pPr>
              <w:pStyle w:val="Normal"/>
              <w:snapToGrid w:val="false"/>
              <w:spacing w:before="0" w:after="120"/>
              <w:jc w:val="end"/>
              <w:rPr>
                <w:rFonts w:ascii="Arial" w:hAnsi="Arial" w:eastAsia="Arial" w:cs="Arial"/>
                <w:color w:val="000000"/>
                <w:sz w:val="18"/>
                <w:szCs w:val="18"/>
                <w:lang w:val="en-GB"/>
              </w:rPr>
            </w:pPr>
            <w:r>
              <w:rPr>
                <w:rFonts w:eastAsia="Arial" w:cs="Arial" w:ascii="Arial" w:hAnsi="Arial"/>
                <w:color w:val="000000"/>
                <w:sz w:val="18"/>
                <w:szCs w:val="18"/>
                <w:lang w:val="en-GB"/>
              </w:rPr>
            </w:r>
          </w:p>
        </w:tc>
        <w:tc>
          <w:tcPr>
            <w:tcW w:w="1180" w:type="dxa"/>
            <w:tcBorders/>
          </w:tcPr>
          <w:p>
            <w:pPr>
              <w:pStyle w:val="Normal"/>
              <w:snapToGrid w:val="false"/>
              <w:spacing w:before="0" w:after="120"/>
              <w:jc w:val="end"/>
              <w:rPr>
                <w:rFonts w:ascii="Arial" w:hAnsi="Arial" w:eastAsia="Arial" w:cs="Arial"/>
                <w:color w:val="000000"/>
                <w:sz w:val="18"/>
                <w:szCs w:val="18"/>
                <w:lang w:val="en-GB"/>
              </w:rPr>
            </w:pPr>
            <w:r>
              <w:rPr>
                <w:rFonts w:eastAsia="Arial" w:cs="Arial" w:ascii="Arial" w:hAnsi="Arial"/>
                <w:color w:val="000000"/>
                <w:sz w:val="18"/>
                <w:szCs w:val="18"/>
                <w:lang w:val="en-GB"/>
              </w:rPr>
            </w:r>
          </w:p>
        </w:tc>
        <w:tc>
          <w:tcPr>
            <w:tcW w:w="1181" w:type="dxa"/>
            <w:tcBorders/>
          </w:tcPr>
          <w:p>
            <w:pPr>
              <w:pStyle w:val="Normal"/>
              <w:spacing w:before="0" w:after="120"/>
              <w:rPr>
                <w:rFonts w:ascii="Arial" w:hAnsi="Arial" w:eastAsia="Arial" w:cs="Arial"/>
                <w:color w:val="000000"/>
                <w:sz w:val="18"/>
                <w:szCs w:val="18"/>
                <w:lang w:val="en-GB"/>
              </w:rPr>
            </w:pPr>
            <w:r>
              <w:rPr>
                <w:rFonts w:eastAsia="Arial" w:cs="Arial" w:ascii="Arial" w:hAnsi="Arial"/>
                <w:color w:val="000000"/>
                <w:sz w:val="18"/>
                <w:szCs w:val="18"/>
                <w:lang w:val="en-GB"/>
              </w:rPr>
              <w:t>Mean</w:t>
            </w:r>
          </w:p>
        </w:tc>
        <w:tc>
          <w:tcPr>
            <w:tcW w:w="216" w:type="dxa"/>
            <w:tcBorders/>
          </w:tcPr>
          <w:p>
            <w:pPr>
              <w:pStyle w:val="Normal"/>
              <w:snapToGrid w:val="false"/>
              <w:spacing w:before="0" w:after="120"/>
              <w:jc w:val="end"/>
              <w:rPr>
                <w:rFonts w:ascii="Arial" w:hAnsi="Arial" w:eastAsia="Arial" w:cs="Arial"/>
                <w:color w:val="000000"/>
                <w:sz w:val="18"/>
                <w:szCs w:val="18"/>
                <w:lang w:val="en-GB"/>
              </w:rPr>
            </w:pPr>
            <w:r>
              <w:rPr>
                <w:rFonts w:eastAsia="Arial" w:cs="Arial" w:ascii="Arial" w:hAnsi="Arial"/>
                <w:color w:val="000000"/>
                <w:sz w:val="18"/>
                <w:szCs w:val="18"/>
                <w:lang w:val="en-GB"/>
              </w:rPr>
            </w:r>
          </w:p>
        </w:tc>
        <w:tc>
          <w:tcPr>
            <w:tcW w:w="979" w:type="dxa"/>
            <w:tcBorders/>
          </w:tcPr>
          <w:p>
            <w:pPr>
              <w:pStyle w:val="Normal"/>
              <w:spacing w:before="0" w:after="120"/>
              <w:jc w:val="end"/>
              <w:rPr>
                <w:rFonts w:ascii="Arial" w:hAnsi="Arial" w:eastAsia="Arial" w:cs="Arial"/>
                <w:color w:val="000000"/>
                <w:sz w:val="18"/>
                <w:szCs w:val="18"/>
                <w:lang w:val="en-GB"/>
              </w:rPr>
            </w:pPr>
            <w:r>
              <w:rPr>
                <w:rFonts w:eastAsia="Arial" w:cs="Arial" w:ascii="Arial" w:hAnsi="Arial"/>
                <w:color w:val="000000"/>
                <w:sz w:val="18"/>
                <w:szCs w:val="18"/>
                <w:lang w:val="en-GB"/>
              </w:rPr>
              <w:t>-8.9%</w:t>
            </w:r>
          </w:p>
        </w:tc>
      </w:tr>
    </w:tbl>
    <w:p>
      <w:pPr>
        <w:pStyle w:val="BodyText"/>
        <w:rPr/>
      </w:pPr>
      <w:r>
        <w:rPr/>
        <w:drawing>
          <wp:inline distT="0" distB="0" distL="0" distR="0">
            <wp:extent cx="6852920" cy="468566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7"/>
                    <a:stretch>
                      <a:fillRect/>
                    </a:stretch>
                  </pic:blipFill>
                  <pic:spPr bwMode="auto">
                    <a:xfrm>
                      <a:off x="0" y="0"/>
                      <a:ext cx="6852920" cy="4685665"/>
                    </a:xfrm>
                    <a:prstGeom prst="rect">
                      <a:avLst/>
                    </a:prstGeom>
                    <a:noFill/>
                  </pic:spPr>
                </pic:pic>
              </a:graphicData>
            </a:graphic>
          </wp:inline>
        </w:drawing>
      </w:r>
    </w:p>
    <w:p>
      <w:pPr>
        <w:pStyle w:val="BodyText"/>
        <w:rPr/>
      </w:pPr>
      <w:r>
        <w:rPr/>
      </w:r>
    </w:p>
    <w:tbl>
      <w:tblPr>
        <w:tblW w:w="9307" w:type="dxa"/>
        <w:jc w:val="start"/>
        <w:tblInd w:w="0" w:type="dxa"/>
        <w:tblLayout w:type="fixed"/>
        <w:tblCellMar>
          <w:top w:w="0" w:type="dxa"/>
          <w:start w:w="30" w:type="dxa"/>
          <w:bottom w:w="0" w:type="dxa"/>
          <w:end w:w="30" w:type="dxa"/>
        </w:tblCellMar>
      </w:tblPr>
      <w:tblGrid>
        <w:gridCol w:w="1860"/>
        <w:gridCol w:w="2335"/>
        <w:gridCol w:w="1704"/>
        <w:gridCol w:w="1704"/>
        <w:gridCol w:w="1704"/>
      </w:tblGrid>
      <w:tr>
        <w:trPr>
          <w:trHeight w:val="300" w:hRule="exact"/>
        </w:trPr>
        <w:tc>
          <w:tcPr>
            <w:tcW w:w="9307" w:type="dxa"/>
            <w:gridSpan w:val="5"/>
            <w:tcBorders/>
          </w:tcPr>
          <w:p>
            <w:pPr>
              <w:pStyle w:val="Normal"/>
              <w:spacing w:before="0" w:after="120"/>
              <w:rPr>
                <w:rFonts w:ascii="Arial Narrow" w:hAnsi="Arial Narrow" w:eastAsia="Arial Narrow" w:cs="Arial Narrow"/>
                <w:color w:val="000000"/>
                <w:lang w:val="en-GB"/>
              </w:rPr>
            </w:pPr>
            <w:r>
              <w:rPr>
                <w:rFonts w:eastAsia="Arial Narrow" w:cs="Arial Narrow" w:ascii="Arial Narrow" w:hAnsi="Arial Narrow"/>
                <w:b/>
                <w:bCs/>
                <w:color w:val="000000"/>
                <w:sz w:val="24"/>
                <w:szCs w:val="24"/>
                <w:lang w:val="en-GB"/>
              </w:rPr>
              <w:t>Spot Prices of Coal Per Ton From Different Regions</w:t>
            </w:r>
          </w:p>
        </w:tc>
      </w:tr>
      <w:tr>
        <w:trPr>
          <w:trHeight w:val="240" w:hRule="exact"/>
        </w:trPr>
        <w:tc>
          <w:tcPr>
            <w:tcW w:w="5899" w:type="dxa"/>
            <w:gridSpan w:val="3"/>
            <w:tcBorders/>
          </w:tcPr>
          <w:p>
            <w:pPr>
              <w:pStyle w:val="Normal"/>
              <w:spacing w:before="0" w:after="120"/>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(Monthly average in dollars per ton for coal at the mine)</w:t>
            </w:r>
          </w:p>
        </w:tc>
        <w:tc>
          <w:tcPr>
            <w:tcW w:w="0" w:type="dxa"/>
            <w:vMerge w:val="continue"/>
            <w:tcBorders/>
          </w:tcPr>
          <w:p>
            <w:pPr>
              <w:pStyle w:val="Normal"/>
              <w:snapToGrid w:val="false"/>
              <w:spacing w:before="0" w:after="120"/>
              <w:jc w:val="end"/>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r>
          </w:p>
        </w:tc>
        <w:tc>
          <w:tcPr>
            <w:tcW w:w="0" w:type="dxa"/>
            <w:vMerge w:val="continue"/>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704"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704"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r>
        <w:trPr>
          <w:trHeight w:val="240" w:hRule="exact"/>
        </w:trPr>
        <w:tc>
          <w:tcPr>
            <w:tcW w:w="1860"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2335" w:type="dxa"/>
            <w:tcBorders/>
          </w:tcPr>
          <w:p>
            <w:pPr>
              <w:pStyle w:val="Normal"/>
              <w:spacing w:before="0" w:after="120"/>
              <w:jc w:val="center"/>
              <w:rPr/>
            </w:pPr>
            <w:r>
              <w:rPr>
                <w:rFonts w:eastAsia="Arial Narrow" w:cs="Arial Narrow" w:ascii="Arial Narrow" w:hAnsi="Arial Narrow"/>
                <w:b/>
                <w:bCs/>
                <w:color w:val="000000"/>
                <w:lang w:val="en-GB"/>
              </w:rPr>
              <w:t xml:space="preserve">Big Sandy Barge Coal </w:t>
            </w:r>
            <w:r>
              <w:rPr>
                <w:rFonts w:eastAsia="Arial Narrow" w:cs="Arial Narrow" w:ascii="Arial Narrow" w:hAnsi="Arial Narrow"/>
                <w:b/>
                <w:bCs/>
                <w:color w:val="000000"/>
                <w:u w:val="single"/>
                <w:lang w:val="en-GB"/>
              </w:rPr>
              <w:t>(Central Appalachia)</w:t>
            </w:r>
          </w:p>
        </w:tc>
        <w:tc>
          <w:tcPr>
            <w:tcW w:w="1704" w:type="dxa"/>
            <w:tcBorders/>
          </w:tcPr>
          <w:p>
            <w:pPr>
              <w:pStyle w:val="Normal"/>
              <w:spacing w:before="0" w:after="120"/>
              <w:jc w:val="center"/>
              <w:rPr/>
            </w:pPr>
            <w:r>
              <w:rPr>
                <w:rFonts w:eastAsia="Arial Narrow" w:cs="Arial Narrow" w:ascii="Arial Narrow" w:hAnsi="Arial Narrow"/>
                <w:b/>
                <w:bCs/>
                <w:color w:val="000000"/>
                <w:lang w:val="en-GB"/>
              </w:rPr>
              <w:t xml:space="preserve">Pennsylvania </w:t>
            </w:r>
            <w:r>
              <w:rPr>
                <w:rFonts w:eastAsia="Arial Narrow" w:cs="Arial Narrow" w:ascii="Arial Narrow" w:hAnsi="Arial Narrow"/>
                <w:b/>
                <w:bCs/>
                <w:color w:val="000000"/>
                <w:u w:val="single"/>
                <w:lang w:val="en-GB"/>
              </w:rPr>
              <w:t>Railcar Coal</w:t>
            </w:r>
          </w:p>
        </w:tc>
        <w:tc>
          <w:tcPr>
            <w:tcW w:w="1704" w:type="dxa"/>
            <w:tcBorders/>
          </w:tcPr>
          <w:p>
            <w:pPr>
              <w:pStyle w:val="Normal"/>
              <w:spacing w:before="0" w:after="120"/>
              <w:jc w:val="center"/>
              <w:rPr/>
            </w:pPr>
            <w:r>
              <w:rPr>
                <w:rFonts w:eastAsia="Arial Narrow" w:cs="Arial Narrow" w:ascii="Arial Narrow" w:hAnsi="Arial Narrow"/>
                <w:b/>
                <w:bCs/>
                <w:color w:val="000000"/>
                <w:lang w:val="en-GB"/>
              </w:rPr>
              <w:t xml:space="preserve">Utah 1% Sulfur </w:t>
            </w:r>
            <w:r>
              <w:rPr>
                <w:rFonts w:eastAsia="Arial Narrow" w:cs="Arial Narrow" w:ascii="Arial Narrow" w:hAnsi="Arial Narrow"/>
                <w:b/>
                <w:bCs/>
                <w:color w:val="000000"/>
                <w:u w:val="single"/>
                <w:lang w:val="en-GB"/>
              </w:rPr>
              <w:t>Coal</w:t>
            </w:r>
          </w:p>
        </w:tc>
        <w:tc>
          <w:tcPr>
            <w:tcW w:w="1704" w:type="dxa"/>
            <w:tcBorders/>
          </w:tcPr>
          <w:p>
            <w:pPr>
              <w:pStyle w:val="Normal"/>
              <w:spacing w:before="0" w:after="120"/>
              <w:jc w:val="center"/>
              <w:rPr/>
            </w:pPr>
            <w:r>
              <w:rPr>
                <w:rFonts w:eastAsia="Arial Narrow" w:cs="Arial Narrow" w:ascii="Arial Narrow" w:hAnsi="Arial Narrow"/>
                <w:b/>
                <w:bCs/>
                <w:color w:val="000000"/>
                <w:lang w:val="en-GB"/>
              </w:rPr>
              <w:t xml:space="preserve">Powder River </w:t>
            </w:r>
            <w:r>
              <w:rPr>
                <w:rFonts w:eastAsia="Arial Narrow" w:cs="Arial Narrow" w:ascii="Arial Narrow" w:hAnsi="Arial Narrow"/>
                <w:b/>
                <w:bCs/>
                <w:color w:val="000000"/>
                <w:u w:val="single"/>
                <w:lang w:val="en-GB"/>
              </w:rPr>
              <w:t>Basin Coal</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Jul-00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$23.00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$19.00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$12.00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Aug-00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$24.00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$19.50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$12.50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Sep-00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$25.00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$13.00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Oct-00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$26.00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$20.50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$13.25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Nov-00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$27.00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$20.50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$13.50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Dec-00</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$30.00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$20.75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$13.75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Jan-01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$32.00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$21.00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$14.00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Feb-01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$34.00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$23.00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$14.25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$5.00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Mar-01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$40.00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$28.00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$15.00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$9.00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Apr-01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$43.00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$31.00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$11.00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May-01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$44.00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$31.00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$20.00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$13.00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Jun-01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$47.45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$32.43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$20.79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$12.93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Jul-01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$45.77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$31.89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$21.41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$11.15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Aug-01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$44.42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$35.32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$21.70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$8.60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Sep-01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$39.18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$37.53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$23.20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$8.60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Oct-01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$35.57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$34.35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$22.34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$8.43 </w:t>
            </w:r>
          </w:p>
        </w:tc>
      </w:tr>
      <w:tr>
        <w:trPr>
          <w:trHeight w:val="240" w:hRule="exact"/>
        </w:trPr>
        <w:tc>
          <w:tcPr>
            <w:tcW w:w="1860" w:type="dxa"/>
            <w:tcBorders/>
          </w:tcPr>
          <w:p>
            <w:pPr>
              <w:pStyle w:val="Normal"/>
              <w:spacing w:before="0" w:after="120"/>
              <w:rPr>
                <w:rFonts w:ascii="Arial Narrow" w:hAnsi="Arial Narrow" w:eastAsia="Arial Narrow" w:cs="Arial Narrow"/>
                <w:b/>
                <w:bCs/>
                <w:color w:val="000000"/>
                <w:lang w:val="en-GB"/>
              </w:rPr>
            </w:pPr>
            <w:r>
              <w:rPr>
                <w:rFonts w:eastAsia="Arial Narrow" w:cs="Arial Narrow" w:ascii="Arial Narrow" w:hAnsi="Arial Narrow"/>
                <w:b/>
                <w:bCs/>
                <w:color w:val="000000"/>
                <w:lang w:val="en-GB"/>
              </w:rPr>
              <w:t>Nov-01</w:t>
            </w:r>
          </w:p>
        </w:tc>
        <w:tc>
          <w:tcPr>
            <w:tcW w:w="2335"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$34.77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$33.79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$21.92 </w:t>
            </w:r>
          </w:p>
        </w:tc>
        <w:tc>
          <w:tcPr>
            <w:tcW w:w="1704" w:type="dxa"/>
            <w:tcBorders/>
          </w:tcPr>
          <w:p>
            <w:pPr>
              <w:pStyle w:val="Normal"/>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 xml:space="preserve">$8.27 </w:t>
            </w:r>
          </w:p>
        </w:tc>
      </w:tr>
      <w:tr>
        <w:trPr>
          <w:trHeight w:val="60" w:hRule="exact"/>
        </w:trPr>
        <w:tc>
          <w:tcPr>
            <w:tcW w:w="1860" w:type="dxa"/>
            <w:tcBorders/>
          </w:tcPr>
          <w:p>
            <w:pPr>
              <w:pStyle w:val="Normal"/>
              <w:snapToGrid w:val="false"/>
              <w:spacing w:before="0" w:after="120"/>
              <w:jc w:val="end"/>
              <w:rPr>
                <w:rFonts w:ascii="Arial Narrow" w:hAnsi="Arial Narrow" w:eastAsia="Arial Narrow" w:cs="Arial Narrow"/>
                <w:b/>
                <w:bCs/>
                <w:color w:val="000000"/>
                <w:sz w:val="22"/>
                <w:szCs w:val="22"/>
                <w:lang w:val="en-GB"/>
              </w:rPr>
            </w:pPr>
            <w:r>
              <w:rPr>
                <w:rFonts w:eastAsia="Arial Narrow" w:cs="Arial Narrow" w:ascii="Arial Narrow" w:hAnsi="Arial Narrow"/>
                <w:b/>
                <w:bCs/>
                <w:color w:val="000000"/>
                <w:sz w:val="22"/>
                <w:szCs w:val="22"/>
                <w:lang w:val="en-GB"/>
              </w:rPr>
            </w:r>
          </w:p>
        </w:tc>
        <w:tc>
          <w:tcPr>
            <w:tcW w:w="2335" w:type="dxa"/>
            <w:tcBorders/>
          </w:tcPr>
          <w:p>
            <w:pPr>
              <w:pStyle w:val="Normal"/>
              <w:snapToGrid w:val="false"/>
              <w:spacing w:before="0" w:after="120"/>
              <w:jc w:val="center"/>
              <w:rPr>
                <w:rFonts w:ascii="Arial Narrow" w:hAnsi="Arial Narrow" w:eastAsia="Arial Narrow" w:cs="Arial Narrow"/>
                <w:b/>
                <w:bCs/>
                <w:color w:val="000000"/>
                <w:sz w:val="22"/>
                <w:szCs w:val="22"/>
                <w:lang w:val="en-GB"/>
              </w:rPr>
            </w:pPr>
            <w:r>
              <w:rPr>
                <w:rFonts w:eastAsia="Arial Narrow" w:cs="Arial Narrow" w:ascii="Arial Narrow" w:hAnsi="Arial Narrow"/>
                <w:b/>
                <w:bCs/>
                <w:color w:val="000000"/>
                <w:sz w:val="22"/>
                <w:szCs w:val="22"/>
                <w:lang w:val="en-GB"/>
              </w:rPr>
            </w:r>
          </w:p>
        </w:tc>
        <w:tc>
          <w:tcPr>
            <w:tcW w:w="1704" w:type="dxa"/>
            <w:tcBorders/>
          </w:tcPr>
          <w:p>
            <w:pPr>
              <w:pStyle w:val="Normal"/>
              <w:snapToGrid w:val="false"/>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r>
          </w:p>
        </w:tc>
        <w:tc>
          <w:tcPr>
            <w:tcW w:w="1704" w:type="dxa"/>
            <w:tcBorders/>
          </w:tcPr>
          <w:p>
            <w:pPr>
              <w:pStyle w:val="Normal"/>
              <w:snapToGrid w:val="false"/>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r>
          </w:p>
        </w:tc>
        <w:tc>
          <w:tcPr>
            <w:tcW w:w="1704" w:type="dxa"/>
            <w:tcBorders/>
          </w:tcPr>
          <w:p>
            <w:pPr>
              <w:pStyle w:val="Normal"/>
              <w:snapToGrid w:val="false"/>
              <w:spacing w:before="0" w:after="120"/>
              <w:jc w:val="center"/>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r>
          </w:p>
        </w:tc>
      </w:tr>
      <w:tr>
        <w:trPr>
          <w:trHeight w:val="240" w:hRule="exact"/>
        </w:trPr>
        <w:tc>
          <w:tcPr>
            <w:tcW w:w="4195" w:type="dxa"/>
            <w:gridSpan w:val="2"/>
            <w:tcBorders/>
          </w:tcPr>
          <w:p>
            <w:pPr>
              <w:pStyle w:val="Normal"/>
              <w:spacing w:before="0" w:after="120"/>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t>Source: Bloomberg</w:t>
            </w:r>
          </w:p>
        </w:tc>
        <w:tc>
          <w:tcPr>
            <w:tcW w:w="0" w:type="dxa"/>
            <w:vMerge w:val="continue"/>
            <w:tcBorders/>
          </w:tcPr>
          <w:p>
            <w:pPr>
              <w:pStyle w:val="Normal"/>
              <w:snapToGrid w:val="false"/>
              <w:spacing w:before="0" w:after="120"/>
              <w:jc w:val="end"/>
              <w:rPr>
                <w:rFonts w:ascii="Arial Narrow" w:hAnsi="Arial Narrow" w:eastAsia="Arial Narrow" w:cs="Arial Narrow"/>
                <w:color w:val="000000"/>
                <w:sz w:val="22"/>
                <w:szCs w:val="22"/>
                <w:lang w:val="en-GB"/>
              </w:rPr>
            </w:pPr>
            <w:r>
              <w:rPr>
                <w:rFonts w:eastAsia="Arial Narrow" w:cs="Arial Narrow" w:ascii="Arial Narrow" w:hAnsi="Arial Narrow"/>
                <w:color w:val="000000"/>
                <w:sz w:val="22"/>
                <w:szCs w:val="22"/>
                <w:lang w:val="en-GB"/>
              </w:rPr>
            </w:r>
          </w:p>
        </w:tc>
        <w:tc>
          <w:tcPr>
            <w:tcW w:w="1704"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704"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c>
          <w:tcPr>
            <w:tcW w:w="1704" w:type="dxa"/>
            <w:tcBorders/>
          </w:tcPr>
          <w:p>
            <w:pPr>
              <w:pStyle w:val="Normal"/>
              <w:snapToGrid w:val="false"/>
              <w:spacing w:before="0" w:after="120"/>
              <w:jc w:val="end"/>
              <w:rPr>
                <w:rFonts w:ascii="Arial Narrow" w:hAnsi="Arial Narrow" w:eastAsia="Arial Narrow" w:cs="Arial Narrow"/>
                <w:color w:val="000000"/>
                <w:lang w:val="en-GB"/>
              </w:rPr>
            </w:pPr>
            <w:r>
              <w:rPr>
                <w:rFonts w:eastAsia="Arial Narrow" w:cs="Arial Narrow" w:ascii="Arial Narrow" w:hAnsi="Arial Narrow"/>
                <w:color w:val="000000"/>
                <w:lang w:val="en-GB"/>
              </w:rPr>
            </w:r>
          </w:p>
        </w:tc>
      </w:tr>
    </w:tbl>
    <w:p>
      <w:pPr>
        <w:sectPr>
          <w:type w:val="nextPage"/>
          <w:pgSz w:w="12240" w:h="15840"/>
          <w:pgMar w:left="720" w:right="720" w:gutter="0" w:header="0" w:top="720" w:footer="0" w:bottom="936"/>
          <w:pgNumType w:fmt="decimal"/>
          <w:formProt w:val="false"/>
          <w:textDirection w:val="lrTb"/>
        </w:sectPr>
        <w:pStyle w:val="BodyText"/>
        <w:rPr/>
      </w:pPr>
      <w:r>
        <w:rPr/>
      </w:r>
    </w:p>
    <w:p>
      <w:pPr>
        <w:pStyle w:val="BodyText"/>
        <w:numPr>
          <w:ilvl w:val="0"/>
          <w:numId w:val="0"/>
        </w:numPr>
        <w:rPr/>
      </w:pPr>
      <w:r>
        <w:rPr/>
      </w:r>
    </w:p>
    <w:p>
      <w:pPr>
        <w:sectPr>
          <w:type w:val="nextPage"/>
          <w:pgSz w:w="12240" w:h="15840"/>
          <w:pgMar w:left="720" w:right="720" w:gutter="0" w:header="0" w:top="720" w:footer="0" w:bottom="936"/>
          <w:pgNumType w:fmt="decimal"/>
          <w:formProt w:val="false"/>
          <w:textDirection w:val="lrTb"/>
        </w:sectPr>
      </w:pPr>
    </w:p>
    <w:p>
      <w:pPr>
        <w:pStyle w:val="footnote"/>
        <w:rPr>
          <w:sz w:val="16"/>
          <w:szCs w:val="16"/>
        </w:rPr>
      </w:pPr>
      <w:r>
        <w:rPr>
          <w:sz w:val="16"/>
          <w:szCs w:val="16"/>
        </w:rPr>
        <w:t>Additional information available upon request.</w:t>
      </w:r>
    </w:p>
    <w:p>
      <w:pPr>
        <w:sectPr>
          <w:type w:val="continuous"/>
          <w:pgSz w:w="12240" w:h="15840"/>
          <w:pgMar w:left="720" w:right="720" w:gutter="0" w:header="0" w:top="720" w:footer="0" w:bottom="936"/>
          <w:formProt w:val="true"/>
          <w:textDirection w:val="lrTb"/>
        </w:sectPr>
      </w:pPr>
    </w:p>
    <w:p>
      <w:pPr>
        <w:pStyle w:val="footnote"/>
        <w:rPr>
          <w:sz w:val="16"/>
          <w:szCs w:val="16"/>
        </w:rPr>
      </w:pPr>
      <w:r>
        <w:rPr>
          <w:sz w:val="16"/>
          <w:szCs w:val="16"/>
        </w:rPr>
      </w:r>
      <w:bookmarkStart w:id="5" w:name="trc_autoFootNotes"/>
      <w:bookmarkStart w:id="6" w:name="trc_autoFootNotes"/>
      <w:bookmarkEnd w:id="6"/>
    </w:p>
    <w:p>
      <w:pPr>
        <w:pStyle w:val="footnote"/>
        <w:rPr/>
      </w:pPr>
      <w:r>
        <w:rPr/>
        <w:t>2. UBS Warburg LLC, UBS PaineWebber Inc. and/or one of their affiliates has acted as a manager/co-manager or placement agent in underwriting securities of this company or one of its subsidiaries in the past three years.</w:t>
        <w:br/>
        <w:t>12. UBS Warburg LLC is acting as financial advisor to Energy East in the announced acquisition of RGS Energy.</w:t>
      </w:r>
    </w:p>
    <w:p>
      <w:pPr>
        <w:sectPr>
          <w:type w:val="continuous"/>
          <w:pgSz w:w="12240" w:h="15840"/>
          <w:pgMar w:left="720" w:right="720" w:gutter="0" w:header="0" w:top="720" w:footer="0" w:bottom="936"/>
          <w:formProt w:val="true"/>
          <w:textDirection w:val="lrTb"/>
        </w:sectPr>
      </w:pPr>
    </w:p>
    <w:p>
      <w:pPr>
        <w:pStyle w:val="footnote"/>
        <w:numPr>
          <w:ilvl w:val="0"/>
          <w:numId w:val="0"/>
        </w:numPr>
        <w:rPr/>
      </w:pPr>
      <w:r>
        <w:rPr/>
      </w:r>
    </w:p>
    <w:p>
      <w:pPr>
        <w:sectPr>
          <w:type w:val="continuous"/>
          <w:pgSz w:w="12240" w:h="15840"/>
          <w:pgMar w:left="720" w:right="720" w:gutter="0" w:header="0" w:top="720" w:footer="0" w:bottom="936"/>
          <w:formProt w:val="false"/>
          <w:textDirection w:val="lrTb"/>
        </w:sectPr>
      </w:pPr>
    </w:p>
    <w:p>
      <w:pPr>
        <w:pStyle w:val="WDRLegal1"/>
        <w:rPr/>
      </w:pPr>
      <w:r>
        <w:rPr/>
        <w:t xml:space="preserve">This report has no regard to the specific investment objectives, financial situation or particular needs of any specific recipient.  This report is based on information obtained from sources believed to be reliable but no independent verification has been made, nor is its accuracy or completeness guaranteed.  This report is published solely for informational purposes and is not to be construed as a solicitation or an offer to buy or sell any securities or related financial instruments.  Opinions expressed herein are subject to change without notice and the division, group, subsidiary or affiliate of  UBS AG (“UBS”) which produced this report is under no obligation to update or keep the information current. The securities described herein may not be eligible for sale in all jurisdictions or to certain categories of investors. UBS and/or its directors, officers and employees may take positions in, and may make purchases and/or sales as principal or agent or UBS may act as market-maker in the securities or related financial instruments discussed herein.  UBS may provide corporate finance and other services to and/or serve as directors of the companies referred to in this report.  UBS accepts no liability for any loss or damage of  any kind arising out of the use of this report.  EEA: This report has been issued by UBS Warburg Ltd., a subsidiary of UBS AG, regulated in the UK by the Securities and Futures Authority.  This report is for distribution in the UK to persons who are not UK private customers.  US:  This report is being distributed to US persons by either UBS Warburg LLC or UBS PaineWebber Inc., subsidiaries of UBS AG, or by a division, group or affiliate of UBS AG, that is not registered as a US broker-dealer (a “non-US affiliate”), to major US institutional investors only. UBS Warburg LLC or UBS PaineWebber Inc. accepts responsibility for the content of a report prepared by another non-US affiliate when distributed to US persons by UBS Warburg LLC or  UBS PaineWebber Inc.  Canada: This report is being distributed by UBS Bunting Warburg Inc., a subsidiary of UBS AG and a member of the principal Canadian stock exchanges &amp; CIPF. Singapore: This report is being distributed in Singapore by UBS Warburg Singapore Pte. Ltd.   For transactions, please contact your local sales representative.  </w:t>
      </w:r>
      <w:r>
        <w:rPr>
          <w:b/>
          <w:bCs/>
        </w:rPr>
        <w:t>Additional information will be made available upon request.</w:t>
      </w:r>
      <w:r>
        <mc:AlternateContent>
          <mc:Choice Requires="wps">
            <w:drawing>
              <wp:anchor behindDoc="0" distT="118745" distB="0" distL="0" distR="118745" simplePos="0" locked="0" layoutInCell="0" allowOverlap="1" relativeHeight="4">
                <wp:simplePos x="0" y="0"/>
                <wp:positionH relativeFrom="column">
                  <wp:align>left</wp:align>
                </wp:positionH>
                <wp:positionV relativeFrom="margin">
                  <wp:align>bottom</wp:align>
                </wp:positionV>
                <wp:extent cx="4519295" cy="186055"/>
                <wp:effectExtent l="0" t="0" r="0" b="0"/>
                <wp:wrapSquare wrapText="bothSides"/>
                <wp:docPr id="3" name="Frame1"/>
                <a:graphic xmlns:a="http://schemas.openxmlformats.org/drawingml/2006/main">
                  <a:graphicData uri="http://schemas.microsoft.com/office/word/2010/wordprocessingShape">
                    <wps:wsp>
                      <wps:cNvSpPr txBox="1"/>
                      <wps:spPr>
                        <a:xfrm>
                          <a:off x="0" y="0"/>
                          <a:ext cx="4519295" cy="186055"/>
                        </a:xfrm>
                        <a:prstGeom prst="rect"/>
                        <a:solidFill>
                          <a:srgbClr val="FFFFFF">
                            <a:alpha val="0"/>
                          </a:srgbClr>
                        </a:solidFill>
                      </wps:spPr>
                      <wps:txbx>
                        <w:txbxContent>
                          <w:p>
                            <w:pPr>
                              <w:pStyle w:val="WDRLegal"/>
                              <w:pBdr>
                                <w:top w:val="single" w:sz="6" w:space="1" w:color="000000"/>
                              </w:pBdr>
                              <w:spacing w:before="40" w:after="0"/>
                              <w:jc w:val="both"/>
                              <w:rPr>
                                <w:rStyle w:val="Validation"/>
                              </w:rPr>
                            </w:pPr>
                            <w:r>
                              <w:rPr>
                                <w:rStyle w:val="Validation"/>
                              </w:rPr>
                              <w:t>UBS Warburg LLC, 1285 Avenue of the Americas, New York, NY 10019 Phone: +1-212-713-2000</w:t>
                            </w:r>
                          </w:p>
                        </w:txbxContent>
                      </wps:txbx>
                      <wps:bodyPr anchor="t" lIns="0" tIns="12700" rIns="0" bIns="0">
                        <a:noAutofit/>
                      </wps:bodyPr>
                    </wps:wsp>
                  </a:graphicData>
                </a:graphic>
              </wp:anchor>
            </w:drawing>
          </mc:Choice>
          <mc:Fallback>
            <w:pict>
              <v:rect fillcolor="#FFFFFF" style="position:absolute;rotation:-0;width:355.85pt;height:14.65pt;mso-wrap-distance-left:0pt;mso-wrap-distance-right:9.35pt;mso-wrap-distance-top:9.35pt;mso-wrap-distance-bottom:0pt;margin-top:694.55pt;mso-position-vertical:bottom;mso-position-vertical-relative:margin;margin-left:0pt;mso-position-horizontal:left;mso-position-horizontal-relative:text">
                <v:fill opacity="0f"/>
                <v:textbox inset="0in,0.0138888888888889in,0in,0in">
                  <w:txbxContent>
                    <w:p>
                      <w:pPr>
                        <w:pStyle w:val="WDRLegal"/>
                        <w:pBdr>
                          <w:top w:val="single" w:sz="6" w:space="1" w:color="000000"/>
                        </w:pBdr>
                        <w:spacing w:before="40" w:after="0"/>
                        <w:jc w:val="both"/>
                        <w:rPr>
                          <w:rStyle w:val="Validation"/>
                        </w:rPr>
                      </w:pPr>
                      <w:r>
                        <w:rPr>
                          <w:rStyle w:val="Validation"/>
                        </w:rPr>
                        <w:t>UBS Warburg LLC, 1285 Avenue of the Americas, New York, NY 10019 Phone: +1-212-713-2000</w:t>
                      </w:r>
                    </w:p>
                  </w:txbxContent>
                </v:textbox>
                <w10:wrap type="square"/>
              </v:rect>
            </w:pict>
          </mc:Fallback>
        </mc:AlternateContent>
      </w:r>
    </w:p>
    <w:p>
      <w:pPr>
        <w:pStyle w:val="WDRLegal1"/>
        <w:rPr/>
      </w:pPr>
      <w:r>
        <w:rPr/>
        <w:t>© 2001  All rights reserved. This report may not be reproduced or distributed in any manner without the permission of UBS.</w:t>
      </w:r>
    </w:p>
    <w:p>
      <w:pPr>
        <w:pStyle w:val="BodyText"/>
        <w:spacing w:lineRule="exact" w:line="20" w:before="0" w:after="0"/>
        <w:rPr/>
      </w:pPr>
      <w:r>
        <w:rPr/>
      </w:r>
    </w:p>
    <w:sectPr>
      <w:type w:val="continuous"/>
      <w:pgSz w:w="12240" w:h="15840"/>
      <w:pgMar w:left="720" w:right="720" w:gutter="0" w:header="0" w:top="720" w:footer="0" w:bottom="936"/>
      <w:formProt w:val="tru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
    <w:altName w:val="Arial"/>
    <w:charset w:val="01"/>
    <w:family w:val="swiss"/>
    <w:pitch w:val="variable"/>
  </w:font>
  <w:font w:name="Arial">
    <w:charset w:val="01"/>
    <w:family w:val="swiss"/>
    <w:pitch w:val="variable"/>
  </w:font>
  <w:font w:name="Garamond">
    <w:charset w:val="01"/>
    <w:family w:val="roman"/>
    <w:pitch w:val="variable"/>
  </w:font>
  <w:font w:name="Arial Narrow">
    <w:charset w:val="01"/>
    <w:family w:val="swiss"/>
    <w:pitch w:val="variable"/>
  </w:font>
  <w:font w:name="PaineWebber">
    <w:charset w:val="01"/>
    <w:family w:val="roman"/>
    <w:pitch w:val="variable"/>
  </w:font>
  <w:font w:name="Arial Rounded MT Bold">
    <w:charset w:val="01"/>
    <w:family w:val="swiss"/>
    <w:pitch w:val="variable"/>
  </w:font>
  <w:font w:name="Symbol">
    <w:charset w:val="02"/>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WCoverText"/>
      <w:pBdr>
        <w:top w:val="single" w:sz="6" w:space="1" w:color="FFFFFF"/>
      </w:pBdr>
      <w:ind w:end="3840"/>
      <w:rPr/>
    </w:pPr>
    <w:r>
      <w:rPr/>
    </w:r>
    <w:bookmarkStart w:id="3" w:name="trc_UBS_slug"/>
    <w:bookmarkStart w:id="4" w:name="trc_UBS_slug"/>
    <w:bookmarkEnd w:id="4"/>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6" w:space="1" w:color="000000"/>
      </w:pBdr>
      <w:tabs>
        <w:tab w:val="clear" w:pos="4320"/>
        <w:tab w:val="clear" w:pos="8640"/>
        <w:tab w:val="right" w:pos="10860" w:leader="none"/>
      </w:tabs>
      <w:spacing w:lineRule="exact" w:line="360" w:before="0" w:after="240"/>
      <w:rPr/>
    </w:pPr>
    <w:r>
      <w:rPr>
        <w:i/>
        <w:iCs/>
        <w:sz w:val="16"/>
        <w:szCs w:val="16"/>
      </w:rPr>
      <w:t xml:space="preserve">Page </w:t>
    </w:r>
    <w:r>
      <w:rPr>
        <w:i/>
        <w:iCs/>
        <w:sz w:val="16"/>
        <w:szCs w:val="16"/>
      </w:rPr>
      <w:fldChar w:fldCharType="begin"/>
    </w:r>
    <w:r>
      <w:rPr>
        <w:sz w:val="16"/>
        <w:i/>
        <w:szCs w:val="16"/>
        <w:iCs/>
      </w:rPr>
      <w:instrText xml:space="preserve"> PAGE </w:instrText>
    </w:r>
    <w:r>
      <w:rPr>
        <w:sz w:val="16"/>
        <w:i/>
        <w:szCs w:val="16"/>
        <w:iCs/>
      </w:rPr>
      <w:fldChar w:fldCharType="separate"/>
    </w:r>
    <w:r>
      <w:rPr>
        <w:sz w:val="16"/>
        <w:i/>
        <w:szCs w:val="16"/>
        <w:iCs/>
      </w:rPr>
      <w:t>4</w:t>
    </w:r>
    <w:r>
      <w:rPr>
        <w:sz w:val="16"/>
        <w:i/>
        <w:szCs w:val="16"/>
        <w:iCs/>
      </w:rPr>
      <w:fldChar w:fldCharType="end"/>
    </w:r>
    <w:r>
      <w:rPr>
        <w:i/>
        <w:iCs/>
        <w:sz w:val="16"/>
        <w:szCs w:val="16"/>
      </w:rPr>
      <w:t xml:space="preserve"> of </w:t>
    </w:r>
    <w:r>
      <w:rPr>
        <w:i/>
        <w:iCs/>
        <w:sz w:val="16"/>
        <w:szCs w:val="16"/>
      </w:rPr>
      <w:fldChar w:fldCharType="begin"/>
    </w:r>
    <w:r>
      <w:rPr>
        <w:sz w:val="16"/>
        <w:i/>
        <w:szCs w:val="16"/>
        <w:iCs/>
      </w:rPr>
      <w:instrText xml:space="preserve"> NUMPAGES \* ARABIC </w:instrText>
    </w:r>
    <w:r>
      <w:rPr>
        <w:sz w:val="16"/>
        <w:i/>
        <w:szCs w:val="16"/>
        <w:iCs/>
      </w:rPr>
      <w:fldChar w:fldCharType="separate"/>
    </w:r>
    <w:r>
      <w:rPr>
        <w:sz w:val="16"/>
        <w:i/>
        <w:szCs w:val="16"/>
        <w:iCs/>
      </w:rPr>
      <w:t>9</w:t>
    </w:r>
    <w:r>
      <w:rPr>
        <w:sz w:val="16"/>
        <w:i/>
        <w:szCs w:val="16"/>
        <w:iCs/>
      </w:rPr>
      <w:fldChar w:fldCharType="end"/>
    </w:r>
    <w:r>
      <w:rPr>
        <w:rStyle w:val="PageNumber"/>
        <w:i/>
        <w:iCs/>
      </w:rPr>
      <w:tab/>
    </w:r>
    <w:r>
      <w:rPr>
        <w:rStyle w:val="PageNumber"/>
        <w:sz w:val="16"/>
        <w:szCs w:val="16"/>
      </w:rPr>
      <w:t>UBS Warburg LLC</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suppressLineNumbers/>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216"/>
        </w:tabs>
        <w:ind w:start="216" w:hanging="216"/>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hyphenationZone w:val="0"/>
  <w:compat>
    <w:doNotExpandShiftReturn/>
    <w:usePrinterMetrics/>
    <w:compatSetting w:name="compatibilityMode" w:uri="http://schemas.microsoft.com/office/word" w:val="11"/>
  </w:compat>
  <w:documentProtection w:edit="forms" w:enforcement="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before="0" w:after="120"/>
    </w:pPr>
    <w:rPr>
      <w:rFonts w:ascii="Helvetica" w:hAnsi="Helvetica" w:eastAsia="Helvetica" w:cs="Helvetica"/>
      <w:color w:val="auto"/>
      <w:sz w:val="20"/>
      <w:szCs w:val="20"/>
      <w:lang w:val="en-US" w:eastAsia="zh-CN" w:bidi="hi-IN"/>
    </w:rPr>
  </w:style>
  <w:style w:type="paragraph" w:styleId="Heading1">
    <w:name w:val="heading 1"/>
    <w:basedOn w:val="Normal"/>
    <w:next w:val="Normal"/>
    <w:qFormat/>
    <w:pPr>
      <w:numPr>
        <w:ilvl w:val="0"/>
        <w:numId w:val="1"/>
      </w:numPr>
      <w:spacing w:before="240" w:after="120"/>
      <w:outlineLvl w:val="0"/>
    </w:pPr>
    <w:rPr>
      <w:b/>
      <w:bCs/>
      <w:caps/>
      <w:sz w:val="24"/>
      <w:szCs w:val="24"/>
    </w:rPr>
  </w:style>
  <w:style w:type="paragraph" w:styleId="Heading2">
    <w:name w:val="heading 2"/>
    <w:basedOn w:val="Normal"/>
    <w:next w:val="Normal"/>
    <w:qFormat/>
    <w:pPr>
      <w:numPr>
        <w:ilvl w:val="1"/>
        <w:numId w:val="1"/>
      </w:numPr>
      <w:spacing w:before="120" w:after="120"/>
      <w:outlineLvl w:val="1"/>
    </w:pPr>
    <w:rPr>
      <w:b/>
      <w:bCs/>
      <w:sz w:val="24"/>
      <w:szCs w:val="24"/>
    </w:rPr>
  </w:style>
  <w:style w:type="paragraph" w:styleId="Heading3">
    <w:name w:val="heading 3"/>
    <w:basedOn w:val="Normal"/>
    <w:next w:val="NormalIndent"/>
    <w:qFormat/>
    <w:pPr>
      <w:numPr>
        <w:ilvl w:val="2"/>
        <w:numId w:val="1"/>
      </w:numPr>
      <w:ind w:hanging="0" w:start="360" w:end="0"/>
      <w:outlineLvl w:val="2"/>
    </w:pPr>
    <w:rPr>
      <w:b/>
      <w:bCs/>
      <w:sz w:val="24"/>
      <w:szCs w:val="24"/>
    </w:rPr>
  </w:style>
  <w:style w:type="paragraph" w:styleId="Heading4">
    <w:name w:val="heading 4"/>
    <w:basedOn w:val="Normal"/>
    <w:next w:val="NormalIndent"/>
    <w:qFormat/>
    <w:pPr>
      <w:numPr>
        <w:ilvl w:val="3"/>
        <w:numId w:val="1"/>
      </w:numPr>
      <w:ind w:hanging="0" w:start="360" w:end="0"/>
      <w:outlineLvl w:val="3"/>
    </w:pPr>
    <w:rPr>
      <w:sz w:val="24"/>
      <w:szCs w:val="24"/>
      <w:u w:val="single"/>
    </w:rPr>
  </w:style>
  <w:style w:type="paragraph" w:styleId="Heading5">
    <w:name w:val="heading 5"/>
    <w:basedOn w:val="Normal"/>
    <w:next w:val="NormalIndent"/>
    <w:qFormat/>
    <w:pPr>
      <w:numPr>
        <w:ilvl w:val="4"/>
        <w:numId w:val="1"/>
      </w:numPr>
      <w:ind w:hanging="0" w:start="720" w:end="0"/>
      <w:outlineLvl w:val="4"/>
    </w:pPr>
    <w:rPr>
      <w:b/>
      <w:bCs/>
    </w:rPr>
  </w:style>
  <w:style w:type="paragraph" w:styleId="Heading6">
    <w:name w:val="heading 6"/>
    <w:basedOn w:val="Normal"/>
    <w:next w:val="NormalIndent"/>
    <w:qFormat/>
    <w:pPr>
      <w:numPr>
        <w:ilvl w:val="5"/>
        <w:numId w:val="1"/>
      </w:numPr>
      <w:ind w:hanging="0" w:start="720" w:end="0"/>
      <w:outlineLvl w:val="5"/>
    </w:pPr>
    <w:rPr>
      <w:u w:val="single"/>
    </w:rPr>
  </w:style>
  <w:style w:type="paragraph" w:styleId="Heading7">
    <w:name w:val="heading 7"/>
    <w:basedOn w:val="Normal"/>
    <w:next w:val="NormalIndent"/>
    <w:qFormat/>
    <w:pPr>
      <w:numPr>
        <w:ilvl w:val="6"/>
        <w:numId w:val="1"/>
      </w:numPr>
      <w:ind w:hanging="0" w:start="720" w:end="0"/>
      <w:outlineLvl w:val="6"/>
    </w:pPr>
    <w:rPr>
      <w:i/>
      <w:iCs/>
    </w:rPr>
  </w:style>
  <w:style w:type="paragraph" w:styleId="Heading8">
    <w:name w:val="heading 8"/>
    <w:basedOn w:val="Normal"/>
    <w:next w:val="NormalIndent"/>
    <w:qFormat/>
    <w:pPr>
      <w:numPr>
        <w:ilvl w:val="7"/>
        <w:numId w:val="1"/>
      </w:numPr>
      <w:ind w:hanging="0" w:start="720" w:end="0"/>
      <w:outlineLvl w:val="7"/>
    </w:pPr>
    <w:rPr>
      <w:i/>
      <w:iCs/>
    </w:rPr>
  </w:style>
  <w:style w:type="paragraph" w:styleId="Heading9">
    <w:name w:val="heading 9"/>
    <w:basedOn w:val="Normal"/>
    <w:next w:val="NormalIndent"/>
    <w:qFormat/>
    <w:pPr>
      <w:numPr>
        <w:ilvl w:val="8"/>
        <w:numId w:val="1"/>
      </w:numPr>
      <w:ind w:hanging="0" w:start="720" w:end="0"/>
      <w:outlineLvl w:val="8"/>
    </w:pPr>
    <w:rPr>
      <w:i/>
      <w:iCs/>
    </w:rPr>
  </w:style>
  <w:style w:type="character" w:styleId="DefaultParagraphFont">
    <w:name w:val="Default Paragraph Font"/>
    <w:qFormat/>
    <w:rPr/>
  </w:style>
  <w:style w:type="character" w:styleId="PageNumber">
    <w:name w:val="page number"/>
    <w:basedOn w:val="DefaultParagraphFont"/>
    <w:rPr>
      <w:rFonts w:ascii="Helvetica" w:hAnsi="Helvetica" w:eastAsia="Helvetica" w:cs="Helvetica"/>
    </w:rPr>
  </w:style>
  <w:style w:type="character" w:styleId="AnnotationReference">
    <w:name w:val="Annotation Reference"/>
    <w:basedOn w:val="DefaultParagraphFont"/>
    <w:qFormat/>
    <w:rPr>
      <w:rFonts w:ascii="Arial" w:hAnsi="Arial" w:eastAsia="Arial" w:cs="Arial"/>
      <w:sz w:val="16"/>
      <w:szCs w:val="16"/>
    </w:rPr>
  </w:style>
  <w:style w:type="character" w:styleId="FootnoteCharacters">
    <w:name w:val="Footnote Characters"/>
    <w:basedOn w:val="DefaultParagraphFont"/>
    <w:qFormat/>
    <w:rPr>
      <w:rFonts w:ascii="Helvetica" w:hAnsi="Helvetica" w:eastAsia="Helvetica" w:cs="Helvetica"/>
      <w:sz w:val="16"/>
      <w:szCs w:val="16"/>
      <w:vertAlign w:val="superscript"/>
    </w:rPr>
  </w:style>
  <w:style w:type="character" w:styleId="LineNumber">
    <w:name w:val="line number"/>
    <w:basedOn w:val="DefaultParagraphFont"/>
    <w:rPr>
      <w:rFonts w:ascii="Helvetica" w:hAnsi="Helvetica" w:eastAsia="Helvetica" w:cs="Helvetica"/>
    </w:rPr>
  </w:style>
  <w:style w:type="character" w:styleId="EndnoteCharacters">
    <w:name w:val="Endnote Characters"/>
    <w:basedOn w:val="DefaultParagraphFont"/>
    <w:qFormat/>
    <w:rPr>
      <w:rFonts w:ascii="Helvetica" w:hAnsi="Helvetica" w:eastAsia="Helvetica" w:cs="Helvetica"/>
      <w:vertAlign w:val="superscript"/>
    </w:rPr>
  </w:style>
  <w:style w:type="character" w:styleId="Validation">
    <w:name w:val="Validation"/>
    <w:basedOn w:val="DefaultParagraphFont"/>
    <w:qFormat/>
    <w:rPr>
      <w:rFonts w:ascii="Arial" w:hAnsi="Arial" w:eastAsia="Arial" w:cs="Arial"/>
      <w:b/>
      <w:bCs/>
      <w:sz w:val="16"/>
      <w:szCs w:val="16"/>
    </w:rPr>
  </w:style>
  <w:style w:type="character" w:styleId="Strong">
    <w:name w:val="Strong"/>
    <w:basedOn w:val="DefaultParagraphFont"/>
    <w:qFormat/>
    <w:rPr>
      <w:b/>
      <w:bCs/>
    </w:rPr>
  </w:style>
  <w:style w:type="paragraph" w:styleId="Heading">
    <w:name w:val="Heading"/>
    <w:basedOn w:val="Normal"/>
    <w:next w:val="BodyText"/>
    <w:qFormat/>
    <w:pPr>
      <w:spacing w:before="240" w:after="60"/>
      <w:jc w:val="center"/>
    </w:pPr>
    <w:rPr>
      <w:b/>
      <w:bCs/>
      <w:kern w:val="2"/>
      <w:sz w:val="32"/>
      <w:szCs w:val="32"/>
    </w:rPr>
  </w:style>
  <w:style w:type="paragraph" w:styleId="BodyText">
    <w:name w:val="Body Text"/>
    <w:basedOn w:val="Normal"/>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NormalIndent">
    <w:name w:val="Normal Indent"/>
    <w:basedOn w:val="Normal"/>
    <w:qFormat/>
    <w:pPr>
      <w:ind w:hanging="0" w:start="720" w:end="0"/>
    </w:pPr>
    <w:rPr/>
  </w:style>
  <w:style w:type="paragraph" w:styleId="Index3">
    <w:name w:val="index 3"/>
    <w:basedOn w:val="Normal"/>
    <w:next w:val="Normal"/>
    <w:pPr>
      <w:tabs>
        <w:tab w:val="clear" w:pos="720"/>
        <w:tab w:val="right" w:pos="10800" w:leader="dot"/>
      </w:tabs>
      <w:ind w:hanging="200" w:start="600" w:end="0"/>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Hedge">
    <w:name w:val="Hedge"/>
    <w:basedOn w:val="Normal"/>
    <w:qFormat/>
    <w:pPr>
      <w:pBdr>
        <w:top w:val="single" w:sz="6" w:space="1" w:color="000000"/>
      </w:pBdr>
      <w:spacing w:lineRule="exact" w:line="160" w:before="60" w:after="0"/>
    </w:pPr>
    <w:rPr>
      <w:sz w:val="14"/>
      <w:szCs w:val="14"/>
    </w:rPr>
  </w:style>
  <w:style w:type="paragraph" w:styleId="Notes">
    <w:name w:val="Notes"/>
    <w:basedOn w:val="Normal"/>
    <w:qFormat/>
    <w:pPr>
      <w:spacing w:lineRule="exact" w:line="180" w:before="40" w:after="120"/>
    </w:pPr>
    <w:rPr>
      <w:sz w:val="16"/>
      <w:szCs w:val="16"/>
    </w:rPr>
  </w:style>
  <w:style w:type="paragraph" w:styleId="RoundBullet">
    <w:name w:val="Round Bullet"/>
    <w:basedOn w:val="Normal"/>
    <w:qFormat/>
    <w:pPr>
      <w:numPr>
        <w:ilvl w:val="0"/>
        <w:numId w:val="2"/>
      </w:numPr>
      <w:spacing w:before="0" w:after="60"/>
      <w:ind w:hanging="216" w:start="216" w:end="0"/>
    </w:pPr>
    <w:rPr/>
  </w:style>
  <w:style w:type="paragraph" w:styleId="TOC6">
    <w:name w:val="toc 6"/>
    <w:basedOn w:val="Normal"/>
    <w:next w:val="Normal"/>
    <w:pPr>
      <w:tabs>
        <w:tab w:val="clear" w:pos="720"/>
        <w:tab w:val="right" w:pos="10800" w:leader="dot"/>
      </w:tabs>
      <w:ind w:hanging="0" w:start="1000" w:end="0"/>
    </w:pPr>
    <w:rPr/>
  </w:style>
  <w:style w:type="paragraph" w:styleId="CoverDate">
    <w:name w:val="Cover Date"/>
    <w:basedOn w:val="Normal"/>
    <w:qFormat/>
    <w:pPr>
      <w:spacing w:before="0" w:after="0"/>
      <w:ind w:hanging="0" w:start="0" w:end="86"/>
      <w:jc w:val="end"/>
    </w:pPr>
    <w:rPr>
      <w:b/>
      <w:bCs/>
      <w:color w:val="FFFFFF"/>
      <w:spacing w:val="30"/>
    </w:rPr>
  </w:style>
  <w:style w:type="paragraph" w:styleId="ExhibitNumber">
    <w:name w:val="Exhibit Number"/>
    <w:basedOn w:val="Normal"/>
    <w:next w:val="ExhibitTitle"/>
    <w:qFormat/>
    <w:pPr>
      <w:keepNext w:val="true"/>
      <w:spacing w:before="120" w:after="0"/>
    </w:pPr>
    <w:rPr>
      <w:i/>
      <w:iCs/>
      <w:sz w:val="16"/>
      <w:szCs w:val="16"/>
    </w:rPr>
  </w:style>
  <w:style w:type="paragraph" w:styleId="ExhibitTitle">
    <w:name w:val="Exhibit Title"/>
    <w:basedOn w:val="Normal"/>
    <w:next w:val="ExhibitSubtitle"/>
    <w:qFormat/>
    <w:pPr>
      <w:keepNext w:val="true"/>
      <w:spacing w:before="0" w:after="0"/>
    </w:pPr>
    <w:rPr>
      <w:b/>
      <w:bCs/>
      <w:sz w:val="18"/>
      <w:szCs w:val="18"/>
    </w:rPr>
  </w:style>
  <w:style w:type="paragraph" w:styleId="ExhibitSubtitle">
    <w:name w:val="Exhibit Subtitle"/>
    <w:basedOn w:val="Normal"/>
    <w:next w:val="BodyText"/>
    <w:qFormat/>
    <w:pPr>
      <w:keepNext w:val="true"/>
      <w:spacing w:before="0" w:after="0"/>
    </w:pPr>
    <w:rPr>
      <w:i/>
      <w:iCs/>
      <w:sz w:val="16"/>
      <w:szCs w:val="16"/>
    </w:rPr>
  </w:style>
  <w:style w:type="paragraph" w:styleId="Footer">
    <w:name w:val="footer"/>
    <w:basedOn w:val="Normal"/>
    <w:pPr>
      <w:tabs>
        <w:tab w:val="clear" w:pos="720"/>
        <w:tab w:val="center" w:pos="4320" w:leader="none"/>
        <w:tab w:val="right" w:pos="8640" w:leader="none"/>
      </w:tabs>
    </w:pPr>
    <w:rPr/>
  </w:style>
  <w:style w:type="paragraph" w:styleId="Head1">
    <w:name w:val="Head 1"/>
    <w:basedOn w:val="Normal"/>
    <w:next w:val="BodyText"/>
    <w:qFormat/>
    <w:pPr>
      <w:keepNext w:val="true"/>
      <w:spacing w:before="0" w:after="60"/>
    </w:pPr>
    <w:rPr>
      <w:b/>
      <w:bCs/>
      <w:caps/>
    </w:rPr>
  </w:style>
  <w:style w:type="paragraph" w:styleId="Head2">
    <w:name w:val="Head 2"/>
    <w:basedOn w:val="Head1"/>
    <w:next w:val="BodyText"/>
    <w:qFormat/>
    <w:pPr/>
    <w:rPr>
      <w:i/>
      <w:iCs/>
    </w:rPr>
  </w:style>
  <w:style w:type="paragraph" w:styleId="Head3">
    <w:name w:val="Head 3"/>
    <w:basedOn w:val="Head2"/>
    <w:next w:val="BodyText"/>
    <w:qFormat/>
    <w:pPr/>
    <w:rPr>
      <w:b w:val="false"/>
      <w:bCs w:val="false"/>
    </w:rPr>
  </w:style>
  <w:style w:type="paragraph" w:styleId="Rating">
    <w:name w:val="Rating"/>
    <w:basedOn w:val="Normal"/>
    <w:qFormat/>
    <w:pPr>
      <w:jc w:val="end"/>
    </w:pPr>
    <w:rPr>
      <w:sz w:val="28"/>
      <w:szCs w:val="28"/>
    </w:rPr>
  </w:style>
  <w:style w:type="paragraph" w:styleId="AnnotationText">
    <w:name w:val="Annotation Text"/>
    <w:basedOn w:val="Normal"/>
    <w:qFormat/>
    <w:pPr/>
    <w:rPr/>
  </w:style>
  <w:style w:type="paragraph" w:styleId="CompanyName">
    <w:name w:val="Company Name"/>
    <w:basedOn w:val="Normal"/>
    <w:qFormat/>
    <w:pPr/>
    <w:rPr>
      <w:sz w:val="28"/>
      <w:szCs w:val="28"/>
    </w:rPr>
  </w:style>
  <w:style w:type="paragraph" w:styleId="FootnoteText">
    <w:name w:val="footnote text"/>
    <w:basedOn w:val="Normal"/>
    <w:pPr/>
    <w:rPr/>
  </w:style>
  <w:style w:type="paragraph" w:styleId="Prices">
    <w:name w:val="Prices"/>
    <w:basedOn w:val="BodyText"/>
    <w:next w:val="Normal"/>
    <w:qFormat/>
    <w:pPr>
      <w:spacing w:before="0" w:after="60"/>
    </w:pPr>
    <w:rPr>
      <w:b/>
      <w:bCs/>
      <w:sz w:val="16"/>
      <w:szCs w:val="16"/>
    </w:rPr>
  </w:style>
  <w:style w:type="paragraph" w:styleId="PricesData">
    <w:name w:val="PricesData"/>
    <w:basedOn w:val="Normal"/>
    <w:qFormat/>
    <w:pPr/>
    <w:rPr>
      <w:sz w:val="16"/>
      <w:szCs w:val="16"/>
    </w:rPr>
  </w:style>
  <w:style w:type="paragraph" w:styleId="NoteTeaser">
    <w:name w:val="Note Teaser"/>
    <w:basedOn w:val="Normal"/>
    <w:qFormat/>
    <w:pPr>
      <w:spacing w:before="120" w:after="60"/>
    </w:pPr>
    <w:rPr>
      <w:sz w:val="24"/>
      <w:szCs w:val="24"/>
    </w:rPr>
  </w:style>
  <w:style w:type="paragraph" w:styleId="HeadTeaser">
    <w:name w:val="Head Teaser"/>
    <w:basedOn w:val="Normal"/>
    <w:qFormat/>
    <w:pPr>
      <w:keepNext w:val="true"/>
      <w:spacing w:before="120" w:after="120"/>
    </w:pPr>
    <w:rPr>
      <w:b/>
      <w:bCs/>
      <w:sz w:val="22"/>
      <w:szCs w:val="22"/>
    </w:rPr>
  </w:style>
  <w:style w:type="paragraph" w:styleId="TOC1">
    <w:name w:val="toc 1"/>
    <w:basedOn w:val="Normal"/>
    <w:next w:val="Normal"/>
    <w:pPr>
      <w:tabs>
        <w:tab w:val="clear" w:pos="720"/>
        <w:tab w:val="left" w:pos="8280" w:leader="dot"/>
        <w:tab w:val="right" w:pos="8640" w:leader="none"/>
      </w:tabs>
      <w:ind w:hanging="0" w:start="0" w:end="720"/>
    </w:pPr>
    <w:rPr/>
  </w:style>
  <w:style w:type="paragraph" w:styleId="TOC2">
    <w:name w:val="toc 2"/>
    <w:basedOn w:val="Normal"/>
    <w:next w:val="Normal"/>
    <w:pPr>
      <w:tabs>
        <w:tab w:val="clear" w:pos="720"/>
        <w:tab w:val="left" w:pos="8280" w:leader="dot"/>
        <w:tab w:val="right" w:pos="8640" w:leader="none"/>
      </w:tabs>
      <w:ind w:hanging="0" w:start="720" w:end="720"/>
    </w:pPr>
    <w:rPr/>
  </w:style>
  <w:style w:type="paragraph" w:styleId="TOC3">
    <w:name w:val="toc 3"/>
    <w:basedOn w:val="Normal"/>
    <w:next w:val="Normal"/>
    <w:pPr>
      <w:tabs>
        <w:tab w:val="clear" w:pos="720"/>
        <w:tab w:val="left" w:pos="8280" w:leader="dot"/>
        <w:tab w:val="right" w:pos="8640" w:leader="none"/>
      </w:tabs>
      <w:ind w:hanging="0" w:start="1440" w:end="720"/>
    </w:pPr>
    <w:rPr/>
  </w:style>
  <w:style w:type="paragraph" w:styleId="TOC4">
    <w:name w:val="toc 4"/>
    <w:basedOn w:val="Normal"/>
    <w:next w:val="Normal"/>
    <w:pPr>
      <w:tabs>
        <w:tab w:val="clear" w:pos="720"/>
        <w:tab w:val="left" w:pos="8280" w:leader="dot"/>
        <w:tab w:val="right" w:pos="8640" w:leader="none"/>
      </w:tabs>
      <w:ind w:hanging="0" w:start="2160" w:end="720"/>
    </w:pPr>
    <w:rPr/>
  </w:style>
  <w:style w:type="paragraph" w:styleId="TOC5">
    <w:name w:val="toc 5"/>
    <w:basedOn w:val="Normal"/>
    <w:next w:val="Normal"/>
    <w:pPr>
      <w:tabs>
        <w:tab w:val="clear" w:pos="720"/>
        <w:tab w:val="left" w:pos="8280" w:leader="dot"/>
        <w:tab w:val="right" w:pos="8640" w:leader="none"/>
      </w:tabs>
      <w:ind w:hanging="0" w:start="2880" w:end="720"/>
    </w:pPr>
    <w:rPr/>
  </w:style>
  <w:style w:type="paragraph" w:styleId="TOC7">
    <w:name w:val="toc 7"/>
    <w:basedOn w:val="Normal"/>
    <w:next w:val="Normal"/>
    <w:pPr>
      <w:tabs>
        <w:tab w:val="clear" w:pos="720"/>
        <w:tab w:val="left" w:pos="8280" w:leader="dot"/>
        <w:tab w:val="right" w:pos="8640" w:leader="none"/>
      </w:tabs>
      <w:ind w:hanging="0" w:start="4320" w:end="720"/>
    </w:pPr>
    <w:rPr/>
  </w:style>
  <w:style w:type="paragraph" w:styleId="TOC8">
    <w:name w:val="toc 8"/>
    <w:basedOn w:val="Normal"/>
    <w:next w:val="Normal"/>
    <w:pPr>
      <w:tabs>
        <w:tab w:val="clear" w:pos="720"/>
        <w:tab w:val="left" w:pos="8280" w:leader="dot"/>
        <w:tab w:val="right" w:pos="8640" w:leader="none"/>
      </w:tabs>
      <w:ind w:hanging="0" w:start="5040" w:end="720"/>
    </w:pPr>
    <w:rPr/>
  </w:style>
  <w:style w:type="paragraph" w:styleId="FootnoteTable">
    <w:name w:val="Footnote Table"/>
    <w:basedOn w:val="Normal"/>
    <w:qFormat/>
    <w:pPr/>
    <w:rPr>
      <w:sz w:val="16"/>
      <w:szCs w:val="16"/>
    </w:rPr>
  </w:style>
  <w:style w:type="paragraph" w:styleId="Analysts">
    <w:name w:val="Analysts"/>
    <w:basedOn w:val="Normal"/>
    <w:qFormat/>
    <w:pPr>
      <w:spacing w:before="0" w:after="0"/>
      <w:ind w:firstLine="86" w:start="0" w:end="0"/>
    </w:pPr>
    <w:rPr>
      <w:b/>
      <w:bCs/>
      <w:color w:val="FFFFFF"/>
      <w:sz w:val="22"/>
      <w:szCs w:val="22"/>
    </w:rPr>
  </w:style>
  <w:style w:type="paragraph" w:styleId="Associates">
    <w:name w:val="Associates"/>
    <w:basedOn w:val="Normal"/>
    <w:qFormat/>
    <w:pPr>
      <w:spacing w:before="0" w:after="0"/>
      <w:ind w:firstLine="86" w:start="0" w:end="0"/>
    </w:pPr>
    <w:rPr>
      <w:b/>
      <w:bCs/>
      <w:color w:val="FFFFFF"/>
      <w:sz w:val="18"/>
      <w:szCs w:val="18"/>
    </w:rPr>
  </w:style>
  <w:style w:type="paragraph" w:styleId="TickerPrice">
    <w:name w:val="Ticker/Price"/>
    <w:basedOn w:val="Normal"/>
    <w:qFormat/>
    <w:pPr/>
    <w:rPr>
      <w:sz w:val="28"/>
      <w:szCs w:val="28"/>
    </w:rPr>
  </w:style>
  <w:style w:type="paragraph" w:styleId="Publication">
    <w:name w:val="Publication"/>
    <w:basedOn w:val="Normal"/>
    <w:qFormat/>
    <w:pPr>
      <w:spacing w:before="60" w:after="0"/>
      <w:ind w:hanging="0" w:start="0" w:end="72"/>
      <w:jc w:val="end"/>
    </w:pPr>
    <w:rPr>
      <w:rFonts w:ascii="Garamond" w:hAnsi="Garamond" w:eastAsia="Garamond" w:cs="Garamond"/>
      <w:b/>
      <w:bCs/>
      <w:caps/>
      <w:color w:val="FFFFFF"/>
      <w:spacing w:val="28"/>
      <w:sz w:val="26"/>
      <w:szCs w:val="26"/>
    </w:rPr>
  </w:style>
  <w:style w:type="paragraph" w:styleId="HighlightText">
    <w:name w:val="Highlight Text"/>
    <w:basedOn w:val="Normal"/>
    <w:qFormat/>
    <w:pPr>
      <w:numPr>
        <w:ilvl w:val="0"/>
        <w:numId w:val="3"/>
      </w:numPr>
      <w:spacing w:before="0" w:after="60"/>
      <w:ind w:hanging="360" w:start="360" w:end="0"/>
    </w:pPr>
    <w:rPr/>
  </w:style>
  <w:style w:type="paragraph" w:styleId="TableHead">
    <w:name w:val="Table Head"/>
    <w:basedOn w:val="Normal"/>
    <w:qFormat/>
    <w:pPr>
      <w:spacing w:before="0" w:after="20"/>
      <w:ind w:hanging="0" w:start="72" w:end="0"/>
    </w:pPr>
    <w:rPr>
      <w:b/>
      <w:bCs/>
      <w:sz w:val="18"/>
      <w:szCs w:val="18"/>
    </w:rPr>
  </w:style>
  <w:style w:type="paragraph" w:styleId="TableText">
    <w:name w:val="Table Text"/>
    <w:basedOn w:val="Normal"/>
    <w:qFormat/>
    <w:pPr>
      <w:spacing w:before="0" w:after="20"/>
      <w:ind w:hanging="0" w:start="72" w:end="0"/>
    </w:pPr>
    <w:rPr>
      <w:sz w:val="18"/>
      <w:szCs w:val="18"/>
    </w:rPr>
  </w:style>
  <w:style w:type="paragraph" w:styleId="SPACER">
    <w:name w:val="SPACER"/>
    <w:basedOn w:val="Normal"/>
    <w:qFormat/>
    <w:pPr/>
    <w:rPr>
      <w:b/>
      <w:bCs/>
    </w:rPr>
  </w:style>
  <w:style w:type="paragraph" w:styleId="PhoneEmail">
    <w:name w:val="Phone/Email"/>
    <w:basedOn w:val="Normal"/>
    <w:qFormat/>
    <w:pPr>
      <w:ind w:firstLine="86" w:start="0" w:end="0"/>
    </w:pPr>
    <w:rPr>
      <w:b/>
      <w:bCs/>
      <w:color w:val="FFFFFF"/>
      <w:sz w:val="18"/>
      <w:szCs w:val="18"/>
    </w:rPr>
  </w:style>
  <w:style w:type="paragraph" w:styleId="EndnoteText">
    <w:name w:val="endnote text"/>
    <w:basedOn w:val="Normal"/>
    <w:pPr/>
    <w:rPr/>
  </w:style>
  <w:style w:type="paragraph" w:styleId="Highlight">
    <w:name w:val="Highlight"/>
    <w:basedOn w:val="Head1"/>
    <w:qFormat/>
    <w:pPr/>
    <w:rPr>
      <w:sz w:val="22"/>
      <w:szCs w:val="22"/>
    </w:rPr>
  </w:style>
  <w:style w:type="paragraph" w:styleId="TableSubhead">
    <w:name w:val="Table Subhead"/>
    <w:basedOn w:val="TableText"/>
    <w:qFormat/>
    <w:pPr/>
    <w:rPr>
      <w:b/>
      <w:bCs/>
    </w:rPr>
  </w:style>
  <w:style w:type="paragraph" w:styleId="footnote">
    <w:name w:val="footnote"/>
    <w:basedOn w:val="Notes"/>
    <w:qFormat/>
    <w:pPr>
      <w:spacing w:lineRule="auto" w:line="240" w:before="20" w:after="20"/>
    </w:pPr>
    <w:rPr>
      <w:sz w:val="14"/>
      <w:szCs w:val="14"/>
    </w:rPr>
  </w:style>
  <w:style w:type="paragraph" w:styleId="rule">
    <w:name w:val="rule"/>
    <w:basedOn w:val="footnote"/>
    <w:qFormat/>
    <w:pPr>
      <w:pBdr>
        <w:bottom w:val="single" w:sz="6" w:space="1" w:color="000000"/>
      </w:pBdr>
    </w:pPr>
    <w:rPr/>
  </w:style>
  <w:style w:type="paragraph" w:styleId="Group">
    <w:name w:val="Group"/>
    <w:basedOn w:val="Normal"/>
    <w:qFormat/>
    <w:pPr>
      <w:spacing w:before="60" w:after="0"/>
      <w:ind w:firstLine="86" w:start="0" w:end="0"/>
    </w:pPr>
    <w:rPr>
      <w:b/>
      <w:bCs/>
      <w:smallCaps/>
      <w:color w:val="FFFFFF"/>
      <w:sz w:val="28"/>
      <w:szCs w:val="28"/>
    </w:rPr>
  </w:style>
  <w:style w:type="paragraph" w:styleId="MorningNoteTeaser">
    <w:name w:val="Morning Note Teaser"/>
    <w:basedOn w:val="Normal"/>
    <w:qFormat/>
    <w:pPr>
      <w:spacing w:before="120" w:after="60"/>
    </w:pPr>
    <w:rPr>
      <w:b/>
      <w:bCs/>
      <w:sz w:val="24"/>
      <w:szCs w:val="24"/>
    </w:rPr>
  </w:style>
  <w:style w:type="paragraph" w:styleId="WDRLegal">
    <w:name w:val="WDRLegal"/>
    <w:basedOn w:val="Normal"/>
    <w:qFormat/>
    <w:pPr>
      <w:pBdr>
        <w:top w:val="single" w:sz="6" w:space="1" w:color="000000"/>
      </w:pBdr>
      <w:tabs>
        <w:tab w:val="clear" w:pos="720"/>
        <w:tab w:val="right" w:pos="7088" w:leader="none"/>
      </w:tabs>
      <w:spacing w:before="40" w:after="0"/>
      <w:jc w:val="both"/>
    </w:pPr>
    <w:rPr>
      <w:rFonts w:ascii="Arial" w:hAnsi="Arial" w:eastAsia="Arial" w:cs="Arial"/>
      <w:sz w:val="13"/>
      <w:szCs w:val="13"/>
      <w:lang w:val="en-GB"/>
    </w:rPr>
  </w:style>
  <w:style w:type="paragraph" w:styleId="PWCoverText">
    <w:name w:val="PW_Cover_Text"/>
    <w:basedOn w:val="Normal"/>
    <w:qFormat/>
    <w:pPr>
      <w:pBdr>
        <w:top w:val="single" w:sz="6" w:space="1" w:color="000000"/>
      </w:pBdr>
      <w:spacing w:before="0" w:after="0"/>
      <w:ind w:hanging="0" w:start="0" w:end="3564"/>
    </w:pPr>
    <w:rPr>
      <w:rFonts w:ascii="Arial Narrow" w:hAnsi="Arial Narrow" w:eastAsia="Arial Narrow" w:cs="Arial Narrow"/>
      <w:b/>
      <w:bCs/>
      <w:color w:val="000000"/>
      <w:sz w:val="17"/>
      <w:szCs w:val="17"/>
    </w:rPr>
  </w:style>
  <w:style w:type="paragraph" w:styleId="PWLogoSmall">
    <w:name w:val="PW_Logo_Small"/>
    <w:basedOn w:val="Header"/>
    <w:qFormat/>
    <w:pPr>
      <w:pBdr>
        <w:top w:val="single" w:sz="6" w:space="1" w:color="000000"/>
      </w:pBdr>
      <w:tabs>
        <w:tab w:val="clear" w:pos="4320"/>
        <w:tab w:val="clear" w:pos="8640"/>
        <w:tab w:val="right" w:pos="10860" w:leader="none"/>
      </w:tabs>
      <w:spacing w:before="0" w:after="240"/>
    </w:pPr>
    <w:rPr>
      <w:rFonts w:ascii="PaineWebber" w:hAnsi="PaineWebber" w:eastAsia="PaineWebber" w:cs="PaineWebber"/>
      <w:sz w:val="36"/>
      <w:szCs w:val="36"/>
    </w:rPr>
  </w:style>
  <w:style w:type="paragraph" w:styleId="UBSLogoSmall">
    <w:name w:val="UBS_Logo_Small"/>
    <w:basedOn w:val="Header"/>
    <w:qFormat/>
    <w:pPr>
      <w:pBdr>
        <w:top w:val="single" w:sz="6" w:space="1" w:color="000000"/>
      </w:pBdr>
      <w:tabs>
        <w:tab w:val="clear" w:pos="4320"/>
        <w:tab w:val="clear" w:pos="8640"/>
        <w:tab w:val="right" w:pos="10860" w:leader="none"/>
      </w:tabs>
      <w:spacing w:lineRule="exact" w:line="360" w:before="0" w:after="240"/>
    </w:pPr>
    <w:rPr>
      <w:sz w:val="16"/>
      <w:szCs w:val="16"/>
    </w:rPr>
  </w:style>
  <w:style w:type="paragraph" w:styleId="WDRLegal1">
    <w:name w:val="WDR Legal"/>
    <w:basedOn w:val="Normal"/>
    <w:qFormat/>
    <w:pPr>
      <w:spacing w:before="120" w:after="0"/>
      <w:jc w:val="both"/>
    </w:pPr>
    <w:rPr>
      <w:rFonts w:ascii="Arial" w:hAnsi="Arial" w:eastAsia="Arial" w:cs="Arial"/>
      <w:color w:val="000000"/>
      <w:sz w:val="13"/>
      <w:szCs w:val="13"/>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paragraph" w:styleId="HeaderLeft">
    <w:name w:val="Header Left"/>
    <w:basedOn w:val="Header"/>
    <w:qFormat/>
    <w:pPr>
      <w:suppressLineNumbers/>
      <w:tabs>
        <w:tab w:val="clear" w:pos="4320"/>
        <w:tab w:val="clear" w:pos="8640"/>
        <w:tab w:val="center" w:pos="5400" w:leader="none"/>
        <w:tab w:val="right" w:pos="10800" w:leader="none"/>
      </w:tabs>
    </w:pPr>
    <w:rPr/>
  </w:style>
  <w:style w:type="numbering" w:styleId="WW8StyleNum">
    <w:name w:val="WW8StyleNum"/>
    <w:qFormat/>
  </w:style>
  <w:style w:type="numbering" w:styleId="WW8StyleNum1">
    <w:name w:val="WW8Style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2.emf"/><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2001-11-19T10:37:00Z</dcterms:created>
  <dc:creator>Christopher B. Muir</dc:creator>
  <dc:description/>
  <dc:language>en-CA</dc:language>
  <cp:lastModifiedBy>Brian Russo</cp:lastModifiedBy>
  <cp:lastPrinted>1998-12-16T16:11:00Z</cp:lastPrinted>
  <dcterms:modified xsi:type="dcterms:W3CDTF">2001-11-19T10:37:00Z</dcterms:modified>
  <cp:revision>1</cp:revision>
  <dc:subject/>
  <dc:title>111901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PaineWebber</vt:lpwstr>
  </property>
  <property fmtid="{D5CDD505-2E9C-101B-9397-08002B2CF9AE}" pid="3" name="Document number">
    <vt:lpwstr>1.01</vt:lpwstr>
  </property>
  <property fmtid="{D5CDD505-2E9C-101B-9397-08002B2CF9AE}" pid="4" name="chkUniverseTickers">
    <vt:lpwstr>False</vt:lpwstr>
  </property>
  <property fmtid="{D5CDD505-2E9C-101B-9397-08002B2CF9AE}" pid="5" name="chkUniverseTickers_alias1">
    <vt:lpwstr>False</vt:lpwstr>
  </property>
</Properties>
</file>