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W E E K E N D   S Y S T E M S   A V A I L A B I L I T Y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F O R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</w:rPr>
      </w:pPr>
      <w:r>
        <w:rPr>
          <w:rFonts w:cs="Helv;Arial" w:ascii="Helv;Arial" w:hAnsi="Helv;Arial"/>
          <w:color w:val="0000FF"/>
        </w:rPr>
        <w:t>July 27, 2001 5:00pm through July 30, 2001 12:00am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  <w:t xml:space="preserve">SCHEDULED SYSTEM OUTAGES: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ARDMORE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AZURIX: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EB34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EDI SERVER: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ENRON CENTER SOUTH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ENRON NORTH AMERICAN LANS: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10:30:00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11:30:00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 8:30:00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 9:30:00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4:30:00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5:30:00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Reconfigure switches on 172.30.10.0 network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ETS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Need gig links to Enron network due to installation of SAN at Ardmore.  Currently using 100Mbps.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Put switch configuration back to original state.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Mary Vollmer        713-853-3381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>George Nguyen    713-853-0691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EBS Wireless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 2:00:00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5:00:00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11:00:00 PM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EBS Wireless Migration to Corp Switches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Wireless users on EBS floors ECN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To start merger of EBS/Corp networks as one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Reverse chages back to current cores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Jason Kilgo    713-345-3198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FIELD SERVICES: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INTERNET: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MESSAGING: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MARKET DATA: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NT: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OS/2: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OTHER SYSTEMS: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10:00:00 AM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  2:00:00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AM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Sombra cpu upgrade for server zeus.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 xml:space="preserve">none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Replace existing cpus with new mirrored cache modules that protect against ecache parity errors.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None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 xml:space="preserve">Malcolm Wells  713-345-3716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9:00:00 AM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Sun 7/29/2001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AM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Sun 7/29/2001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7/27/2001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7/30/2001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Development database migration from dev server autonoms to diablo.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OFS, ECM, PEP, SEM Development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Migrate databases (ofstest semtest peptest ecmibank) to new more robust server so autonoms can be decomissioned and rebuilt for redeployment.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None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Malcolm Wells    713-345-3716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EBS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10:30:00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7/28/2001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8:30:00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Sun 7/29/2001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Sun 7/29/2001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4:30:00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EBS Lotus Notes servers reboots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EBS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EBS DNS will be going offline next week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return to orginal settings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 xml:space="preserve">Mark Jordan  713-562-4247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SITARA: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SUN/OSS SYSTEM: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TELEPHONY: </w:t>
      </w:r>
      <w:r>
        <w:rPr>
          <w:rFonts w:cs="Helv;Arial" w:ascii="Helv;Arial" w:hAnsi="Helv;Arial"/>
          <w:color w:val="000000"/>
          <w:sz w:val="20"/>
          <w:szCs w:val="20"/>
        </w:rPr>
        <w:t>No Scheduled Outages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TERMINAL SERVER: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UNIFY: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  <w:sz w:val="20"/>
          <w:szCs w:val="20"/>
        </w:rPr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>----------------------------------------------------------------------------------------------------------------------------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Helv;Arial" w:ascii="Helv;Arial" w:hAnsi="Helv;Arial"/>
          <w:b/>
          <w:bCs/>
          <w:color w:val="0000FF"/>
        </w:rPr>
        <w:t>FOR ASSISTANCE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(713) 853-1411   Enron Resolution Center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Specific Help: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80"/>
          <w:sz w:val="20"/>
          <w:szCs w:val="20"/>
        </w:rPr>
        <w:t>Information Risk Management</w:t>
      </w: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</w:r>
      <w:r>
        <w:rPr>
          <w:rFonts w:cs="Helv;Arial" w:ascii="Helv;Arial" w:hAnsi="Helv;Arial"/>
          <w:color w:val="000080"/>
          <w:sz w:val="20"/>
          <w:szCs w:val="20"/>
        </w:rPr>
        <w:tab/>
        <w:t>(713) 853-5536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SAP/ISC                                                                               (713) 345-4727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 xml:space="preserve">Unify On-Call </w:t>
        <w:tab/>
        <w:tab/>
        <w:tab/>
        <w:tab/>
        <w:tab/>
        <w:t>(713) 284-3757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Sitara On-Call</w:t>
        <w:tab/>
        <w:tab/>
        <w:tab/>
        <w:tab/>
        <w:tab/>
        <w:t>(713) 288-0101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RUS/GOPS/GeoTools/APRS</w:t>
        <w:tab/>
        <w:tab/>
        <w:tab/>
        <w:t>(713) 639-9726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OSS/UA4/TARP</w:t>
        <w:tab/>
        <w:tab/>
        <w:tab/>
        <w:tab/>
        <w:t>(713) 285-3165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CPR</w:t>
        <w:tab/>
        <w:tab/>
        <w:tab/>
        <w:tab/>
        <w:tab/>
        <w:tab/>
        <w:t>(713) 284-4175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 xml:space="preserve">EDI Support </w:t>
        <w:tab/>
        <w:tab/>
        <w:tab/>
        <w:tab/>
        <w:tab/>
        <w:t>(713) 327-3893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EES Help Desk</w:t>
        <w:tab/>
        <w:tab/>
        <w:tab/>
        <w:tab/>
        <w:tab/>
        <w:t>(713)853-9797 OR (888)853-9797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TDS -Trader Decision Support On-Call                    (713) 327-6032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2001-07-27T17:23:00Z</dcterms:created>
  <dc:creator>bjackson</dc:creator>
  <dc:description/>
  <dc:language>en-CA</dc:language>
  <cp:lastModifiedBy>bjackson</cp:lastModifiedBy>
  <dcterms:modified xsi:type="dcterms:W3CDTF">2001-07-27T17:23:00Z</dcterms:modified>
  <cp:revision>1</cp:revision>
  <dc:subject/>
  <dc:title>------------------------------------------------------------------------------------------------------</dc:title>
</cp:coreProperties>
</file>