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ECAC 11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PRECEDENT AGREEMENT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ＭＳ 明朝"/>
        </w:rPr>
        <w:t xml:space="preserve">WIC EXPANSION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CHEYENNE AREA AND CENTRAL WYOMING TO WESTERN WYOMING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----------------------------------------------------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This Precedent Agreement ("Agreement") dated this ______ day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______________, 2001, states an agreement between Wyoming Interstate Company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("WIC") and Enron North America Corp. ("Shipper"). In consideration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the mutual promises of the parties, WIC and Shipper agree to the following: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1. Transportation Service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Subject to the other provisions of this Agreement: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a.  WIC agrees to expand its system as necessary in order to provide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additional firm transportation service: and, 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b.  WIC agrees to provide Shipper with firm transportation service, 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detailed herein, under WIC's Rate Schedule FT contained in WIC's FERC Gas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Tariff Second Revised Volume No. 2, as the same may be amended or superseded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from time to time ("WIC's Tariff").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2. Rates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a.  If Shipper bids maximum tariff rates on the attached Offer Sheet,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Shipper shall pay charges for the entire term set forth in the Offer Sheet,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in accordance with maximum rates contained in WIC's Tariff, as adjusted from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time to time, plus applicable Federal Energy Regulatory Commission ("FERC")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authorized additional amounts in effect under WIC's Tariff.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b.  If Shipper bids a discounted rate or negotiated rate, Shipper shall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pay the Reservation Charge Bid Rate pursuant to Shipper's Offer Sheet, plus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the maximum commodity charges (if any) and other applicable FERC authorized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additional amounts in effect under WIC's Tariff for the entire term set forth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in the Offer Sheet.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c.  The following provisions of this paragraph apply unless this Agreement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provides for negotiated rate contract. WIC shall charge Shipper at least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minimum rates and no more than the maximum rates applicable to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transportation service described herein. In the event that the reservation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rate is ever below the minimum or above the maximum rate WIC is authorized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charge, such rate shall be increased or decreased, respectively, to equal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applicable minimum or maximum. Furthermore, in the event that WIC is unable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to collect the charges which would otherwise be collected but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restrictions on the maximum rate, WIC may increase the rates provided herein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in other contract years, past or future, as necessary, increase Shipper's MDQ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prospectively or take other lawful steps to collect such lost charges.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3. Quantity, Term, and Delivery Points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The contract Maximum Delivery Quantity (MDQ) and term are as stated in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attached Offer Sheet. The term specified in the Offer Sheet will begin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the actual expansion capacity in-service date. The Primary Receipt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Delivery Point(s) are those set forth in the Offer Sheet.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4. Conditions to WIC's Obligations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WIC's obligations to provide FT transportation service and to expand its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system, as described above, are subject to the following conditions: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a.  The applicable provisions of WIC's FERC Gas Tariff must be complied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with;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b.  All requisite governmental approvals and decisions must be obtained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terms acceptable to WIC;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c.  WIC must determine, in its sole discretion, that the proposed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expansion is economically justifiable;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d.  WIC must receive the appropriate internal management approval for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proposed expansion; and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e.  Sufficient capacity exists to provide the service.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5. Shipper's Obligations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---------------------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a.  Shipper agrees that it will execute a Firm Transportation Service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Agreement ("FTSA") containing terms consistent with this Agreement, within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thirty (30) days after tender by WIC. The FTSA shall be in the form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prescribed by WIC's Tariff for firm transportation service under Rate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Schedule FT.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b.  Upon request of WIC, Shipper agrees to support any notification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certificate filing made to the FERC, or other forums, that would assist WIC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in obtaining any necessary authorizations to construct facilities or provide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transportation as set out herein; and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 xml:space="preserve">c.  Shipper must maintain creditworthiness in accordance with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provisions of Section 6.3 of Rate Schedule FT of WIC's Tariff.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6. Conditions to Shipper's Obligations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Shipper shall have twenty-five (25) days from notification by WIC that it has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been declared a successful bidder to obtain Board of Director approval.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7. Timing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WIC anticipates having Phase I of the proposed expansion project ready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service on October 1, 2001 and Phase II in service by May 1, 2003. WIC will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notify all necessary regulatory authorities concerning additional facilities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required to be constructed.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8. Termination Rights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If all conditions set forth in Section 6 above have not been satisfied within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Twenty-five (25) days of notification of bid acceptance, then either party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terminate this Agreement.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9. Authorities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Performance hereunder is subject to all valid laws, orders, decisions, rules,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and regulations of duly constituted governmental authorities having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jurisdiction or control of the matter related hereto. Should either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parties, by force of any such law, order, decision, rule, or regulation, 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any time during the term of this Precedent Agreement be ordered or required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to do any act inconsistent with the provisions hereof, then for the period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during which the requirements of such law, order, decision, rule,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regulation are applicable, this Agreement shall be deemed modified to conform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with the requirement of such law, order, decision, rule, or regulation;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provided, however, nothing herein shall alter, modify, or otherwise affect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the respective rights of the parties to cancel or terminate this Agreement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under the terms and conditions hereof.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10. Choice of Law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>
          <w:rFonts w:eastAsia="MS Mincho;ＭＳ 明朝"/>
        </w:rPr>
        <w:t>--------------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AS TO ALL MATTERS OF CONSTRUCTION AND INTERPRETATION, THIS AGREEMENT SHALL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INTERPRETED, CONSTRUED, AND GOVERNED BY THE LAWS OF THE STATE OF COLORADO.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SHIPPPER                                    WYOMING INTERSTATE GAS COMPANY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ENRON NORTH AMERICA CORP.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By _____________________________            By _____________________________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Barry Tycholiz                                    Donald J. Zinko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Vice President                                    Vice President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>
          <w:rFonts w:eastAsia="MS Mincho;ＭＳ 明朝"/>
        </w:rPr>
        <w:t>OFFER SHEET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>
          <w:rFonts w:eastAsia="MS Mincho;ＭＳ 明朝"/>
        </w:rPr>
        <w:t xml:space="preserve">WIC EXPANSION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CHEYENNE AREA AND CENTRAL WYOMING TO WESTERN WYOMING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A.   Shipper Name:Enron Northe America Corp.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B.   Term = 10 years years (from the actual in-service date)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Minimum acceptable term for Phase I     2 years.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Minimum acceptable term for Phase II   10 years.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C.  Maximum Acceptable MDQ: 40,000 Dth per Day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Will you accept a pro rata allocation of capacity if necessary?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__________Yes    __________No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Minimum Acceptable MDQ: 1 Dth per Day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MDQ awarded (to be completed by WIC): _________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D.  Primary Receipt/Delivery Point(s):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Receipt Points            MDQ            Receipt Points             MDQ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--------------            ---            --------------             ---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  <w:u w:val="single"/>
        </w:rPr>
        <w:t xml:space="preserve">Cheyenne            </w:t>
      </w:r>
      <w:r>
        <w:rPr>
          <w:rFonts w:eastAsia="MS Mincho;ＭＳ 明朝"/>
        </w:rPr>
        <w:t xml:space="preserve">    </w:t>
      </w:r>
      <w:r>
        <w:rPr>
          <w:rFonts w:eastAsia="MS Mincho;ＭＳ 明朝"/>
          <w:u w:val="single"/>
        </w:rPr>
        <w:t>40,000</w:t>
      </w:r>
      <w:r>
        <w:rPr>
          <w:rFonts w:eastAsia="MS Mincho;ＭＳ 明朝"/>
        </w:rPr>
        <w:t xml:space="preserve">           Overthrust Pipeline    _______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 xml:space="preserve">___________________     _______          Kern River             </w:t>
      </w:r>
      <w:r>
        <w:rPr>
          <w:rFonts w:eastAsia="MS Mincho;ＭＳ 明朝"/>
          <w:u w:val="single"/>
        </w:rPr>
        <w:t>20,000</w:t>
      </w:r>
    </w:p>
    <w:p>
      <w:pPr>
        <w:pStyle w:val="PlainText"/>
        <w:rPr>
          <w:rFonts w:eastAsia="MS Mincho;ＭＳ 明朝"/>
          <w:u w:val="single"/>
        </w:rPr>
      </w:pPr>
      <w:r>
        <w:rPr>
          <w:rFonts w:eastAsia="MS Mincho;ＭＳ 明朝"/>
          <w:u w:val="single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 xml:space="preserve">___________________     _______          Northwest Pipeline     </w:t>
      </w:r>
      <w:r>
        <w:rPr>
          <w:rFonts w:eastAsia="MS Mincho;ＭＳ 明朝"/>
          <w:u w:val="single"/>
        </w:rPr>
        <w:t>20,000</w:t>
      </w:r>
    </w:p>
    <w:p>
      <w:pPr>
        <w:pStyle w:val="PlainText"/>
        <w:rPr>
          <w:rFonts w:eastAsia="MS Mincho;ＭＳ 明朝"/>
          <w:u w:val="single"/>
        </w:rPr>
      </w:pPr>
      <w:r>
        <w:rPr>
          <w:rFonts w:eastAsia="MS Mincho;ＭＳ 明朝"/>
          <w:u w:val="single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___________________     _______          Ruby                    _______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___________________     _______          Other (please specify)</w:t>
      </w:r>
      <w:r>
        <w:rPr>
          <w:rFonts w:eastAsia="MS Mincho;ＭＳ 明朝"/>
          <w:b/>
          <w:bCs/>
        </w:rPr>
        <w:t>see attached</w:t>
      </w:r>
    </w:p>
    <w:p>
      <w:pPr>
        <w:pStyle w:val="PlainText"/>
        <w:rPr>
          <w:rFonts w:eastAsia="MS Mincho;ＭＳ 明朝"/>
          <w:b/>
          <w:bCs/>
        </w:rPr>
      </w:pPr>
      <w:r>
        <w:rPr>
          <w:rFonts w:eastAsia="MS Mincho;ＭＳ 明朝"/>
          <w:b/>
          <w:bCs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E.  Bid Rate: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WIC Only: _______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 xml:space="preserve">Other than WIC's Maximum Rate: </w:t>
      </w:r>
      <w:r>
        <w:rPr>
          <w:rFonts w:eastAsia="MS Mincho;ＭＳ 明朝"/>
          <w:b/>
          <w:bCs/>
        </w:rPr>
        <w:t>$.10/mmbtu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ＭＳ 明朝"/>
        </w:rPr>
        <w:t>Total rate for deliveries from WIC to Kern, Northwest, or Ruby.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F.  Conditions, if any, should be added on a separate sheet.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NOTE:  Bid rates do not include Commodity Charges, ACA, FL&amp;U, or 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authorized surcharges, if any. Such charges are additional to the Bid Rate.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MS Mincho;ＭＳ 明朝"/>
          <w:b/>
          <w:bCs/>
        </w:rPr>
        <w:t>G. Other Provisions</w:t>
      </w:r>
      <w:r>
        <w:rPr>
          <w:rFonts w:eastAsia="MS Mincho;ＭＳ 明朝"/>
        </w:rPr>
        <w:t>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>Should WIC execute or offer agreement with terms less than 10 years, Enron should also be afforded the opportunity to enter into a similar arrangement.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  <w:t xml:space="preserve">Should a pipeline header system be constructed to effectuate deliveries into Kern River, NWPL, Ruby, and/or Overthrust, Enron may realign it’s delivery points if such realignment does not have a negative impact on the project.                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2001-06-22T13:54:00Z</dcterms:created>
  <dc:creator>smiller2</dc:creator>
  <dc:description/>
  <dc:language>en-CA</dc:language>
  <cp:lastModifiedBy>smiller2</cp:lastModifiedBy>
  <cp:lastPrinted>2001-06-22T11:21:00Z</cp:lastPrinted>
  <dcterms:modified xsi:type="dcterms:W3CDTF">2001-06-22T13:54:00Z</dcterms:modified>
  <cp:revision>2</cp:revision>
  <dc:subject/>
  <dc:title>ECAC 11</dc:title>
</cp:coreProperties>
</file>