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bookmarkStart w:id="0" w:name="QuickMark"/>
      <w:bookmarkStart w:id="1" w:name="QuickMark"/>
      <w:bookmarkEnd w:id="1"/>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t>BEFORE THE PUBLIC UTILITIES COMMISSION</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t>OF THE STATE OF CALIFORNIA</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Investigation on the Commission’s Own Motion</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480" w:start="6480" w:end="0"/>
        <w:rPr/>
      </w:pPr>
      <w:r>
        <w:rPr/>
        <w:t>to Consider the Costs and Benefits of Various</w:t>
        <w:tab/>
        <w:t>)</w:t>
        <w:tab/>
        <w:tab/>
        <w:t>I. 99-07-003</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Promising Revisions to the Regulatory and</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Market Structure Governing California’s Natural</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Gas Industry and to Report to the California</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Legislature on the Commission’s Findings.</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__________________________________________)</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r>
      <w:r>
        <w:rPr>
          <w:b/>
        </w:rPr>
        <w:t xml:space="preserve">REPLY BRIEF OF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r>
      <w:r>
        <w:rPr>
          <w:b/>
        </w:rPr>
        <w:t>WESTERN HUB PROPERTIES, LLC</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t xml:space="preserve">IN REPLY TO OPENING BRIEFS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t>FILED BY TURN AND SCGC</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6480" w:end="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Dan L. Carroll</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Ann L. Trowbridge</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Downey, Brand, Seymour &amp; Rohwer LLP</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555 Capitol Mall, 10</w:t>
      </w:r>
      <w:r>
        <w:rPr>
          <w:vertAlign w:val="superscript"/>
        </w:rPr>
        <w:t>th</w:t>
      </w:r>
      <w:r>
        <w:rPr/>
        <w:t xml:space="preserve"> Floor</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Sacramento, California 95814</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6480" w:end="0"/>
        <w:rPr/>
      </w:pPr>
      <w:r>
        <w:rPr/>
        <w:t>Telephone:</w:t>
        <w:tab/>
        <w:t>(916)441-0131</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6480" w:end="0"/>
        <w:rPr/>
      </w:pPr>
      <w:r>
        <w:rPr/>
        <w:t>FAX:</w:t>
        <w:tab/>
        <w:tab/>
        <w:t>(916)441-4021</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6480" w:end="0"/>
        <w:rPr/>
      </w:pPr>
      <w:r>
        <w:rPr/>
        <w:t>E-mail to:</w:t>
        <w:tab/>
        <w:t>dcarroll@dbsr.com</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270"/>
        <w:rPr>
          <w:b/>
        </w:rPr>
      </w:pPr>
      <w:r>
        <w:rPr>
          <w:b/>
        </w:rPr>
        <w:t>Attorneys for Western Hub Properties, LLC</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t xml:space="preserve">July 31, 2000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t>BEFORE THE PUBLIC UTILITIES COMMISSION</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t>OF THE STATE OF CALIFORNIA</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Investigation on the Commission’s Own Motion</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480" w:start="6480" w:end="-270"/>
        <w:rPr/>
      </w:pPr>
      <w:r>
        <w:rPr/>
        <w:t>to Consider the Costs and Benefits of Various</w:t>
        <w:tab/>
        <w:t>)</w:t>
        <w:tab/>
        <w:tab/>
        <w:t>I. 99-07-003</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Promising Revisions to the Regulatory and</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Market Structure Governing California’s Natural</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Gas Industry and to Report to the California</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Legislature on the Commission’s Findings.</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t>__________________________________________)</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r>
      <w:r>
        <w:rPr>
          <w:b/>
        </w:rPr>
        <w:t xml:space="preserve">REPLY BRIEF OF </w:t>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r>
      <w:r>
        <w:rPr>
          <w:b/>
        </w:rPr>
        <w:t>WESTERN HUB PROPERTIES, LLC</w:t>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b/>
        </w:rPr>
      </w:pPr>
      <w:r>
        <w:rPr>
          <w:b/>
        </w:rPr>
        <w:tab/>
        <w:t xml:space="preserve">IN REPLY TO OPENING BRIEFS </w:t>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b/>
        </w:rPr>
      </w:pPr>
      <w:r>
        <w:rPr>
          <w:b/>
        </w:rPr>
        <w:tab/>
        <w:t>FILED BY TURN AND SCGC</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b/>
        </w:rPr>
      </w:pPr>
      <w:r>
        <w:rPr>
          <w:b/>
        </w:rPr>
        <w:t>I.</w:t>
        <w:tab/>
      </w:r>
      <w:r>
        <w:rPr>
          <w:b/>
          <w:smallCaps/>
        </w:rPr>
        <w:t xml:space="preserve">Introduction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270"/>
        <w:rPr/>
      </w:pPr>
      <w:r>
        <w:rPr/>
        <w:t xml:space="preserve">As is apparent from review of the Opening Briefs of various supporters of the Comprehensive Settlement, the Opening Briefs of The Utility Reform Network (“TURN”) and the Southern California Generation Coalition (“SCGC”) are riddled with erroneous assertions.  Not wishing to burden the record with duplicate material, Western Hub Properties (“WHP”) will file a limited Reply Brief which addresses a few issues presented in the Opening Briefs filed by TURN and SCGC.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270"/>
        <w:rPr>
          <w:b/>
          <w:smallCaps/>
        </w:rPr>
      </w:pPr>
      <w:r>
        <w:rPr>
          <w:b/>
          <w:smallCaps/>
        </w:rPr>
        <w:t xml:space="preserve">II.  </w:t>
        <w:tab/>
        <w:t xml:space="preserve">TURN Should Carefully Review Its Recent Past Behavior Before Accusing Anyone of Engaging in Result Oriented Negotiation.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b/>
          <w:smallCaps/>
        </w:rPr>
      </w:pPr>
      <w:r>
        <w:rPr>
          <w:b/>
          <w:smallCaps/>
        </w:rPr>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TURN asserts that the Comprehensive Settlement’s embedded cost methodology was result-driven. (TURN OB, p.52.)  Coming from TURN, this charge is mildly amusing, if not downright hilarious.  Less than a year ago, TURN engaged in an amazing piece of result-oriented settlement discussion and agreement in the 1999 SoCalGas BCAP (A.98-10-012 et al.), which yielded the “Joint Recommendation” eventually adopted by the Commission.  That particular agreement is indisputably “result-oriented”, especially since TURN’s constituents received the bulk of the net benefits from the use of NCO methodology in the cost allocation, even considering the fallout of a huge increase in the EPMC scaler.  With that one jewel in hand, TURN apparently was willing to “compromise” on transmission and storage issues in the BCAP.  But now, with the unbundling of transmission and storage as the Commission envisioned in this proceeding and provided for by the Comprehensive Settlement, TURN must resort to attacking unbundling which uses embedded costs, primarily because of the continued upward rise in the LRMC scaler, started in the very Joint Recommendation to which TURN is a party.</w:t>
      </w:r>
      <w:r>
        <w:rPr>
          <w:rStyle w:val="FootnoteCharacters"/>
          <w:rStyle w:val="FootnoteReference"/>
          <w:vertAlign w:val="superscript"/>
        </w:rPr>
        <w:footnoteReference w:id="2"/>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The ink is barely dry on TURN’s most recent journey down the path of result orientation, yet TURN has the temerity to claim that the Comprehensive Settlement is result-driven and should be rejected for that reason.  TURN would do well to recall the old adage about glass houses and hurling stones.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720" w:end="0"/>
        <w:rPr>
          <w:b/>
          <w:smallCaps/>
        </w:rPr>
      </w:pPr>
      <w:r>
        <w:rPr>
          <w:b/>
          <w:smallCaps/>
        </w:rPr>
        <w:t xml:space="preserve">III. </w:t>
        <w:tab/>
        <w:t>TURN Misrepresents the Use of Embedded Costs in the Comprehensive Settlement.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Besides its unblushing hypocrisy concerning settling parties negotiating to reach a result they can all live with, TURN also misrepresents the reasons for and use of embedded costs in the Comprehensive Settlement.  First, TURN claims that three witnesses supporting the Comprehensive Settlement themselves state the “...</w:t>
      </w:r>
      <w:r>
        <w:rPr>
          <w:b/>
          <w:i/>
          <w:u w:val="single"/>
        </w:rPr>
        <w:t>entire</w:t>
      </w:r>
      <w:r>
        <w:rPr/>
        <w:t xml:space="preserve"> goal of embedded cost unbundling was to preclude shifting of costs between core and noncore customers....”.  (TURN OB, p. 53, emphasis added.)  The evidentiary citations provided by TURN do not in any way support that claim.  Further, as elicited  by TURN counsel on cross-examination, the evidence in reality supports a different conclusion: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Q   Can you explain what is the effect of this reallocation on the allocation of the revenue requirement  between core and noncore customers?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A   I don't believe I can describe what is the impact  associated with this specific reallocation. </w:t>
      </w:r>
      <w:r>
        <w:rPr>
          <w:i/>
        </w:rPr>
        <w:t xml:space="preserve">The overall objective of the </w:t>
      </w:r>
      <w:r>
        <w:rPr>
          <w:b/>
          <w:i/>
        </w:rPr>
        <w:t>comprehensive settlement</w:t>
      </w:r>
      <w:r>
        <w:rPr>
          <w:i/>
        </w:rPr>
        <w:t xml:space="preserve"> was to produce a cost allocation result between core and noncore customers that was not different from the allocation that was achieved as a result of the BCAP</w:t>
      </w:r>
      <w:r>
        <w:rPr/>
        <w:t xml:space="preserve"> absent the impact of the core capacity unbundling 8 to $10 million  dollar cost shift.  So this is one of the elements that was  part of that, achieving that overall objective of cost allocation neutrality compared to the BCAP.</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t xml:space="preserve">(TR, p. 414, Lorenz, emphasis added.)  In other words, the parties to the Comprehensive Settlement admirably wanted to avoid such cost shifts, but that desire does not translate to a conclusion that the </w:t>
      </w:r>
      <w:r>
        <w:rPr>
          <w:i/>
        </w:rPr>
        <w:t>embedded cost methodology</w:t>
      </w:r>
      <w:r>
        <w:rPr/>
        <w:t xml:space="preserve"> was result oriented.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In fact, testimony which TURN has not disputed provides the real reason for the near identity of the two totals of embedded and LRMC storage costs: sheer coincidence.  In a question concerning Table 1 in Ex. 8 (Burkholder),  Mr. Burkholder testified under cross-examination from TURN’s counsel:</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Q   Why is it that those numbers are so very close, 69 versus 71 million?</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A   That's purely an arithmetic coincidence. If you notice the individual unit rates, some of them are vastly different, but there are -- when you perform the arithmetic calculation of the quantity times the unit rate, the totals are strikingly similar.  That's fortuitous to making a transition to embedded cost at this time.</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t xml:space="preserve">(TR, p. 640, Burkholder.)   The importance of this timely coincidence should not be overlooked.  It will allow the transition, with minimal disruption, from marginal cost ratemaking, which has been subject to serious abuses (TR, pp. 654-658, Burkholder) to preferable embedded cost ratemaking.  As already quoted by ORA in its Opening Brief in this proceeding, the Commission has recognized the benefits of embedded cost ratemaking in the natural gas arena.  (ORA OB, p. 17.)  The Commission recognized in its Gas Accord decision that “[w]ith unbundling comes a logical reliance on embedded costs in calculating rates” and that “in general, the matching of rates and facilities is enhanced by embedded cost ratemaking.”  (D.97-08-055, p. 19.)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The Comprehensive Settlement could have used many other combinations of LRMC and embedded cost factors, other cost totals, or many other means in the course of developing rates for unbundled services.  What was finally arrived at are relatively straightforward embedded cost rate calculations.  In D.86-12-009, a decision upon which TURN relies in its Opening Brief, the Commission has indeed recognized benefits in using embedded costs: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Use of embedded costs eliminates the need to make a controversial choice between EPMC and inverse elasticities for the revenue requirement reconciliation calculation.  </w:t>
      </w:r>
      <w:r>
        <w:rPr>
          <w:b/>
          <w:i/>
        </w:rPr>
        <w:t>An embedded cost allocation is simple and understandable, a considerable virtue in this uncertain period of transition in the gas industry</w:t>
      </w:r>
      <w:r>
        <w:rPr>
          <w:b/>
        </w:rPr>
        <w:t xml:space="preserve">.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(D.86-12-009, </w:t>
      </w:r>
      <w:r>
        <w:rPr>
          <w:i/>
        </w:rPr>
        <w:t>mimeo</w:t>
      </w:r>
      <w:r>
        <w:rPr/>
        <w:t>, p.20, emphasis added)</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Use of embedded costs has benefits for other stakeholders in the industry as well.  As stated in Mr. Burkholder’s direct testimony: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A very important aspect of this unbundling is that it is done on an embedded cost basis.  The current LRMC methodology has been very controversial in recent BCAPs, especially with regard to the resource plans.  Price efficiency, however, would dictate that customers should know and pay the real cost of service, which WHP believes is the embedded cost.  As competitors, WHP and others should be allowed to compete for storage services on the basis of utility rates that are based on embedded costs, free from cross-subsidies.  Under the Comprehensive Settlement, storage service customers will have the opportunity to make an informed, economic decision about storage providers.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t>(Ex. 8, p. 6, Burkholder.)</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In summary, the use of embedded costs in the Comprehensive Settlement produces many positive benefits for regulators, consumers, and industry participants, and was not merely a result-driven effort as TURN’s OB implies.   TURN’s efforts to claim that it was solely result-driven  should be rejected.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b/>
          <w:smallCaps/>
        </w:rPr>
      </w:pPr>
      <w:r>
        <w:rPr>
          <w:b/>
          <w:smallCaps/>
        </w:rPr>
        <w:t xml:space="preserve">IV. </w:t>
        <w:tab/>
        <w:t xml:space="preserve">THE A&amp;G Cost Allocation as Proposed in the Comprehensive Settlement is Appropriate.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TURN does not quite seem to know which direction to take in opposing the A&amp;G cost allocation proposed in the Comprehensive Settlement.  First, it calls on Commission precedent that predated the LRMC process to attack the Comprehensive Settlement’s allocation of A&amp;G costs, seeking to cherry pick a single element of ten-year-old embedded cost methodology to reach the result it wants.  (TURN OB, p. 54.)  Then it turns to the 1999 SoCalGas BCAP decision for a comparison to LRMC methodology.  (</w:t>
      </w:r>
      <w:r>
        <w:rPr>
          <w:u w:val="single"/>
        </w:rPr>
        <w:t>Id</w:t>
      </w:r>
      <w:r>
        <w:rPr/>
        <w:t xml:space="preserve">.)  This  ignores the fact that it would neither be expected nor appropriate to return to embedded cost ratemaking under the exact same rules that were in place before the shift to LRMC.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TURN’s reference to core customers representing 37% of load is incomplete and misleading.  (</w:t>
      </w:r>
      <w:r>
        <w:rPr>
          <w:u w:val="single"/>
        </w:rPr>
        <w:t>Id</w:t>
      </w:r>
      <w:r>
        <w:rPr/>
        <w:t xml:space="preserve">.)  Note that TURN states that core customers represents 37% of the load, but pay for approximately 52% of the transmission </w:t>
      </w:r>
      <w:r>
        <w:rPr>
          <w:i/>
        </w:rPr>
        <w:t>and</w:t>
      </w:r>
      <w:r>
        <w:rPr/>
        <w:t xml:space="preserve"> storage margin.  The 37% figure is cold year throughput, and the core is allocated exactly 37% of the transmission margin because that is the allocation factor in LRMC.  There is simply nothing sinister afoot here.</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TURN also relies upon “technically expired” statutory restrictions and misleading arguments to try to create the impression that the Comprehensive Settlement proposed to functionalize </w:t>
      </w:r>
      <w:r>
        <w:rPr>
          <w:i/>
        </w:rPr>
        <w:t>all</w:t>
      </w:r>
      <w:r>
        <w:rPr/>
        <w:t xml:space="preserve"> A&amp;G costs based in O&amp;M.  (TURN OB, p. 55.)  This is simply not true.  The A&amp;G costs being unbundled total $29 million in transmission (Attach 2, Ex. 2) and $14 million in storage (Attach 7, Ex. 2).  This sub-total of $43 million for transmission and storage represents about 10% of  </w:t>
      </w:r>
      <w:r>
        <w:rPr>
          <w:i/>
        </w:rPr>
        <w:t>total</w:t>
      </w:r>
      <w:r>
        <w:rPr/>
        <w:t xml:space="preserve"> A&amp;G costs of $427 million.  (SoCalGas’ 1998 Annual Report to the CPUC, page 325, line 270.)  The unbundled A&amp;G costs are thus a mere fraction of total A&amp;G costs.  Those unbundled costs are part of a comprehensive settlement agreed upon by over 40 parties.  In addition, if the 1991 BCAP methodology regarding the 50/50 classification of A&amp;G which TURN seems to be embracing were applied to the $43 million dollars of A&amp;G costs being unbundled, then half those costs B $21.5 million B should </w:t>
      </w:r>
      <w:r>
        <w:rPr>
          <w:i/>
        </w:rPr>
        <w:t>remain</w:t>
      </w:r>
      <w:r>
        <w:rPr/>
        <w:t xml:space="preserve"> in the unbundled total, and the core would end up bearing most of them.  Thus, the core benefits from the Comprehensive Settlement’s treatment of A&amp;G costs.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TURN seems to lack a good grasp on certain cost allocation principles, and attempts to obfuscate those issues in the Comprehensive Settlement.  A&amp;G dollars associated with all transmission and all storage functions are “leaving” the LRMC process under the unbundling in the Comprehensive Settlement, as Mr. Burkholder explained under cross-examination from TURN’s counsel (directed to some of the numbers on Mr. Burkholder’s Table 1 in Exhibit 8):</w:t>
      </w:r>
    </w:p>
    <w:p>
      <w:pPr>
        <w:pStyle w:val="Plain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rFonts w:ascii="Times New Roman" w:hAnsi="Times New Roman" w:cs="Times New Roman"/>
          <w:sz w:val="24"/>
        </w:rPr>
      </w:pPr>
      <w:r>
        <w:rPr>
          <w:rFonts w:cs="Times New Roman" w:ascii="Times New Roman" w:hAnsi="Times New Roman"/>
          <w:sz w:val="24"/>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Q   Okay.  I guess what I am getting to is in some simple sense, since the core pays all 67.9 million, as you have indicated, of the scaled storage cost, and you have indicated that is divided somehow between the 40.6 million that's based on the unit cost for the capacity factors and the remaining 27 million, and when you calculate the embedded cost, it is a lower number of 35 million, irrespective of how those costs are divided under marginal cost ratemaking between the actual unit cost versus the scaler and the A&amp;G, where does the difference there between the 67 and the 35 million that's left within the shrunken pie after you remove the embedded costs, where does that difference get allocated to? </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A   Well, it remains part of the unscaled dollars that need to be allocated to all customer classes.  Now the totals have changed.  The scaled LRMC revenue, as it is called in the Commission decision, the authorized embedded cost, that's been lowered by the transmission and storage unbundling.  And also the allocation of the marginal cost revenues as a result of unbundling these two functions, that would have also changed as well.  So you are changing several things at the same time here.  But there still will remain an allocation of marginal cost revenues to customer classes, and there still will remain an authorized embedded revenue requirement that has to be reconciled.</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Q   But do I hear you correctly to say, though, that that difference is allocated through the scaler?  It is within the unscaled portion of the remaining revenue requirement, the marginal revenue requirement? </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A   Essentially, that's true, except for the caveat that a portion of those scaling dollars are being shifted out of the process by the assignment of A&amp;G costs to both the transmission and storage function on an embedded cost basis.</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t xml:space="preserve">(TR, p. 670, Burkholder.) </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As already noted, the point here is that, by this unbundling proposed in the Comprehensive Settlement, a reasonable estimate of A&amp;G dollars associated with all transmission and all storage functions will no longer be part of the LRMC cost allocation process.  However, </w:t>
      </w:r>
      <w:r>
        <w:rPr>
          <w:i/>
        </w:rPr>
        <w:t>the remaining authorized A&amp;G costs that SoCalGas is still entitled to collect will remain in the LRMC process.</w:t>
      </w:r>
      <w:r>
        <w:rPr/>
        <w:t xml:space="preserve">  What “remains” are the A&amp;G dollars associated with distribution and customer related categories, which are primarily driven by small customer demand.  And, as TURN seems to want to expose, because they are not marginalized in the LRMC process (see TR, p. 667, Burkholder), the vast majority of those A&amp;G dollars are allocated to the core.  (See also TR, pp.418-419, Lorenz.)  </w:t>
      </w:r>
      <w:r>
        <w:rPr>
          <w:i/>
        </w:rPr>
        <w:t>However, if the same 1991 BCAP methodology for A&amp;G costs were applied to these current day A&amp;G costs, then the core would be paying 99% of them !</w:t>
      </w:r>
      <w:r>
        <w:rPr/>
        <w:t xml:space="preserve">  </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It is important to ignore efforts to obfuscate the fact that the unbundling of transmission and storage in the Comprehensive Settlement is really unbundling only approximately 10% of the total A&amp;G costs.  This allocation is quite conservative and in reality very generous to the core; the 1991 BCAP A&amp;G study conducted by SoCalGas found that the core was actually responsible for much more than that.  (D. 91-12-075, p. 31.)</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color w:val="000000"/>
        </w:rPr>
      </w:pPr>
      <w:r>
        <w:rPr>
          <w:b/>
          <w:smallCaps/>
          <w:color w:val="000000"/>
        </w:rPr>
        <w:t xml:space="preserve">V.  </w:t>
        <w:tab/>
        <w:t>In an Effort to Minimize Competition in SoCalGas</w:t>
      </w:r>
      <w:r>
        <w:rPr>
          <w:b/>
          <w:color w:val="000000"/>
        </w:rPr>
        <w:t>’</w:t>
      </w:r>
      <w:r>
        <w:rPr>
          <w:b/>
          <w:smallCaps/>
          <w:color w:val="000000"/>
        </w:rPr>
        <w:t xml:space="preserve"> Service Area, SCGC Misrepresents the Nature of the CPCN Recently Granted to Lodi Gas Storage, LLC.</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color w:val="000000"/>
        </w:rPr>
      </w:pPr>
      <w:r>
        <w:rPr>
          <w:color w:val="000000"/>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color w:val="000000"/>
        </w:rPr>
      </w:pPr>
      <w:r>
        <w:rPr>
          <w:color w:val="000000"/>
        </w:rPr>
        <w:t xml:space="preserve">SCGC attacks the level of storage competition in SoCalGas service area.  As part of that attack, SCGC attempts to malign WHP’s subsidiary Lodi Gas Storage, LLC (“LGS”) by stating: “Lodi Gas Storage has obtained only a conditional certificate and may never commence service.”   (SCGC OB, p. 68.)  Like most modern CPCNs granted in a state as environmentally sensitive as California, LGS’ certificate does contain conditions, but there is not a whisker of evidence in this record to support the pure speculation that LGS will not begin service.  LGS has invested millions of dollars in acquiring rights needed for its storage project and obtaining its CPCN, and continues to work tirelessly to surmount every hurdle to its providing much needed rapid turn gas storage service in California.  SCGC’s efforts to convert a typical conditioned CPCN into a lack of competition should be ignored. </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color w:val="000000"/>
        </w:rPr>
        <w:t xml:space="preserve">Moreover, WHP continues to explore sites in Southern California to develop gas storage projects, which will bring direct competition to storage services in the region.  The market structure under the Comprehensive Settlement B </w:t>
      </w:r>
      <w:r>
        <w:rPr>
          <w:i/>
          <w:color w:val="000000"/>
        </w:rPr>
        <w:t>which is supported by WHP’s competitor SoCalGas</w:t>
      </w:r>
      <w:r>
        <w:rPr>
          <w:color w:val="000000"/>
        </w:rPr>
        <w:t xml:space="preserve"> B  is vital to attracting the investment necessary to develop such independent competitive storage.  By rejecting SCGC’s arguments and approving the Comprehensive Settlement, the Commission will greatly increase the opportunity for enhanced storage services and choices finally to be available to customers throughout SoCalGas’ service territory.</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720" w:end="0"/>
        <w:rPr>
          <w:b/>
          <w:color w:val="000000"/>
        </w:rPr>
      </w:pPr>
      <w:r>
        <w:rPr>
          <w:b/>
          <w:color w:val="000000"/>
        </w:rPr>
        <w:t xml:space="preserve">VI.  </w:t>
        <w:tab/>
      </w:r>
      <w:r>
        <w:rPr>
          <w:b/>
          <w:smallCaps/>
          <w:color w:val="000000"/>
        </w:rPr>
        <w:t>Conclusion</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b/>
          <w:color w:val="000000"/>
        </w:rPr>
      </w:pPr>
      <w:r>
        <w:rPr>
          <w:b/>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color w:val="000000"/>
        </w:rPr>
      </w:pPr>
      <w:r>
        <w:rPr>
          <w:color w:val="000000"/>
        </w:rPr>
        <w:t>The Comprehensive Settlement is supported by a broad and deep coalition of parties who individually and collectively represent the entire spectrum of natural gas industry participants in California.  The attacks of TURN and SCGC on the Comprehensive Settlement which are discussed above are baseless.  The Commission should reject the arguments of TURN and SCGC and approve the Comprehensive Settlement.</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3600" w:start="3600" w:end="0"/>
        <w:rPr>
          <w:color w:val="000000"/>
        </w:rPr>
      </w:pPr>
      <w:r>
        <w:rPr>
          <w:color w:val="000000"/>
        </w:rPr>
        <w:t>Dated:   July __, 2000</w:t>
        <w:tab/>
        <w:tab/>
        <w:tab/>
        <w:t>Respectfully submitted,</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1440" w:end="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3600" w:end="0"/>
        <w:rPr>
          <w:color w:val="000000"/>
        </w:rPr>
      </w:pPr>
      <w:r>
        <w:rPr>
          <w:color w:val="000000"/>
        </w:rPr>
        <w:t>DOWNEY, BRAND, SEYMOUR &amp; ROHWER LLP</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1440" w:end="0"/>
        <w:rPr>
          <w:color w:val="000000"/>
        </w:rPr>
      </w:pPr>
      <w:r>
        <w:rPr>
          <w:color w:val="00000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0" w:end="0"/>
        <w:rPr>
          <w:color w:val="000000"/>
        </w:rPr>
      </w:pPr>
      <w:r>
        <w:rPr>
          <w:color w:val="000000"/>
        </w:rPr>
        <w:t>By:______________________________________</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rPr>
          <w:color w:val="000000"/>
        </w:rPr>
      </w:pPr>
      <w:r>
        <w:rPr>
          <w:color w:val="000000"/>
        </w:rPr>
        <w:t>Dan L. Carroll</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rPr>
          <w:color w:val="000000"/>
        </w:rPr>
      </w:pPr>
      <w:r>
        <w:rPr>
          <w:color w:val="000000"/>
        </w:rPr>
        <w:t>Ann L. Trowbridge</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rPr>
          <w:color w:val="000000"/>
        </w:rPr>
      </w:pPr>
      <w:r>
        <w:rPr>
          <w:color w:val="000000"/>
        </w:rPr>
        <w:t>Downey, Brand, Seymour &amp; Rohwer LLP</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rPr/>
      </w:pPr>
      <w:r>
        <w:rPr>
          <w:color w:val="000000"/>
        </w:rPr>
        <w:t>555 Capitol Mall, 10</w:t>
      </w:r>
      <w:r>
        <w:rPr>
          <w:color w:val="000000"/>
          <w:vertAlign w:val="superscript"/>
        </w:rPr>
        <w:t>th</w:t>
      </w:r>
      <w:r>
        <w:rPr>
          <w:color w:val="000000"/>
        </w:rPr>
        <w:t xml:space="preserve"> Floor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rPr>
          <w:color w:val="000000"/>
        </w:rPr>
      </w:pPr>
      <w:r>
        <w:rPr>
          <w:color w:val="000000"/>
        </w:rPr>
        <w:t>Sacramento, California 95814</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rPr>
          <w:color w:val="000000"/>
        </w:rPr>
      </w:pPr>
      <w:r>
        <w:rPr>
          <w:b/>
          <w:color w:val="000000"/>
        </w:rPr>
        <w:t>Attorneys for Western Hub Properties, LLC</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b/>
          <w:color w:val="000000"/>
        </w:rPr>
      </w:pPr>
      <w:r>
        <w:rPr>
          <w:b/>
          <w:color w:val="000000"/>
        </w:rPr>
      </w:r>
    </w:p>
    <w:sectPr>
      <w:footnotePr>
        <w:numFmt w:val="decimal"/>
      </w:footnotePr>
      <w:type w:val="continuous"/>
      <w:pgSz w:w="12240" w:h="15840"/>
      <w:pgMar w:left="1440" w:right="117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Pr/>
    </w:r>
    <w:r>
      <w:rPr/>
      <w:fldChar w:fldCharType="end"/>
    </w:r>
    <w:r>
      <w:rPr>
        <w:rFonts w:cs="Arial" w:ascii="Arial" w:hAnsi="Arial"/>
        <w:sz w:val="12"/>
      </w:rPr>
      <w:t xml:space="preserve">#eply.rief </w:t>
    </w:r>
    <w:r>
      <w:fldChar w:fldCharType="begin"/>
    </w:r>
    <w:r>
      <w:rPr/>
      <w:instrText xml:space="preserve">ADVANCE \u10</w:instrText>
    </w:r>
    <w:r>
      <w:rPr/>
    </w:r>
    <w:r>
      <w:rPr/>
      <w:fldChar w:fldCharType="separate"/>
    </w:r>
    <w:r>
      <w:rPr/>
    </w:r>
    <w:r/>
    <w:r>
      <w:rPr/>
      <w:fldChar w:fldCharType="end"/>
    </w: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Pr/>
    </w:r>
    <w:r>
      <w:rPr/>
      <w:fldChar w:fldCharType="end"/>
    </w:r>
    <w:r>
      <w:rPr>
        <w:rFonts w:cs="Arial" w:ascii="Arial" w:hAnsi="Arial"/>
        <w:sz w:val="12"/>
      </w:rPr>
      <w:t xml:space="preserve">#eply.rief </w:t>
    </w:r>
    <w:r>
      <w:fldChar w:fldCharType="begin"/>
    </w:r>
    <w:r>
      <w:rPr/>
      <w:instrText xml:space="preserve">ADVANCE \u10</w:instrText>
    </w:r>
    <w:r>
      <w:rPr/>
    </w:r>
    <w:r>
      <w:rPr/>
      <w:fldChar w:fldCharType="separate"/>
    </w:r>
    <w:r>
      <w:rPr/>
    </w:r>
    <w:r/>
    <w:r>
      <w:rPr/>
      <w:fldChar w:fldCharType="end"/>
    </w: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8</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8</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270"/>
        <w:rPr/>
      </w:pPr>
      <w:r>
        <w:rPr>
          <w:rStyle w:val="FootnoteCharacters"/>
        </w:rPr>
        <w:footnoteRef/>
      </w:r>
      <w:r>
        <w:rPr/>
        <w:tab/>
        <w:t>It is also ironic that it was only TURN that advocated using EPMC as discussed in D.86-12-009, a decision upon which TURN relies extensively, and which is further discussed in the next section of this Reply Brief, regarding A&amp;G costs.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b/>
      <w:sz w:val="20"/>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2000-07-31T18:04:00Z</dcterms:created>
  <dc:creator>Tom McCarthy</dc:creator>
  <dc:description/>
  <dc:language>en-CA</dc:language>
  <cp:lastModifiedBy>John Burkholder</cp:lastModifiedBy>
  <dcterms:modified xsi:type="dcterms:W3CDTF">2000-07-31T18:04:00Z</dcterms:modified>
  <cp:revision>2</cp:revision>
  <dc:subject/>
  <dc:title/>
</cp:coreProperties>
</file>