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bookmarkStart w:id="0" w:name="QuickMark"/>
      <w:bookmarkStart w:id="1" w:name="QuickMark"/>
      <w:bookmarkEnd w:id="1"/>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t>BEFORE THE PUBLIC UTILITIES COMMISSION</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t>OF THE STATE OF CALIFORNIA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Investigation on the Commissions</w:t>
      </w:r>
      <w:r>
        <w:rPr>
          <w:rFonts w:cs="WP TypographicSymbols" w:ascii="WP TypographicSymbols" w:hAnsi="WP TypographicSymbols"/>
        </w:rPr>
        <w:t>=</w:t>
      </w:r>
      <w:r>
        <w:rPr/>
        <w:t xml:space="preserve"> Own Motion</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480" w:start="6480" w:end="0"/>
        <w:rPr/>
      </w:pPr>
      <w:r>
        <w:rPr/>
        <w:t>to Consider the Costs and Benefits of Various</w:t>
        <w:tab/>
        <w:t>)</w:t>
        <w:tab/>
        <w:tab/>
        <w:t>I. 99-07-003</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Promising Revisions to the Regulatory and</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Market Structure Governing California</w:t>
      </w:r>
      <w:r>
        <w:rPr>
          <w:rFonts w:cs="WP TypographicSymbols" w:ascii="WP TypographicSymbols" w:hAnsi="WP TypographicSymbols"/>
        </w:rPr>
        <w:t>=</w:t>
      </w:r>
      <w:r>
        <w:rPr/>
        <w:t>s Natural</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Gas Industry and to Report to the California</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pPr>
      <w:r>
        <w:rPr/>
        <w:t>Legislature on the Commission</w:t>
      </w:r>
      <w:r>
        <w:rPr>
          <w:rFonts w:cs="WP TypographicSymbols" w:ascii="WP TypographicSymbols" w:hAnsi="WP TypographicSymbols"/>
        </w:rPr>
        <w:t>=</w:t>
      </w:r>
      <w:r>
        <w:rPr/>
        <w:t>s Findings.</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__________________________________________)</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pPr>
      <w:r>
        <w:rPr/>
        <w:tab/>
      </w:r>
      <w:r>
        <w:rPr>
          <w:b/>
        </w:rPr>
        <w:t>OPENING BRIEF OF</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t>WESTERN HUB PROPERTIES, LLC</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t>IN SUPPORT OF</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t>THE COMPREHENSIVE SETTLEMENT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s>
        <w:rPr>
          <w:b/>
        </w:rPr>
      </w:pPr>
      <w:r>
        <w:rPr>
          <w:b/>
        </w:rPr>
        <w:tab/>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6480" w:end="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Philip A. Stohr</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Dan L. Carroll</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Ann L. Trowbridge</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Downey, Brand, Seymour &amp; Rohwer LLP</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555 Capitol Mall, 10</w:t>
      </w:r>
      <w:r>
        <w:rPr>
          <w:vertAlign w:val="superscript"/>
        </w:rPr>
        <w:t>th</w:t>
      </w:r>
      <w:r>
        <w:rPr/>
        <w:t xml:space="preserve"> Floor</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0"/>
        <w:rPr/>
      </w:pPr>
      <w:r>
        <w:rPr/>
        <w:t>Sacramento, California 95814</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Telephone:</w:t>
        <w:tab/>
        <w:t>(916)441-0131</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FAX:</w:t>
        <w:tab/>
        <w:tab/>
        <w:t>(916)441-4021</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6480" w:end="0"/>
        <w:rPr/>
      </w:pPr>
      <w:r>
        <w:rPr/>
        <w:t>E-mail to:</w:t>
        <w:tab/>
        <w:t>dcarroll@dbsr.com</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5040" w:end="-270"/>
        <w:rPr>
          <w:b/>
        </w:rPr>
      </w:pPr>
      <w:r>
        <w:rPr>
          <w:b/>
        </w:rPr>
        <w:t>Attorneys for Western Hub Properties, LLC</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t xml:space="preserve">July 10, 2000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t>BEFORE THE PUBLIC UTILITIES COMMISSION</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t>OF THE STATE OF CALIFORNIA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Investigation on the Commissions</w:t>
      </w:r>
      <w:r>
        <w:rPr>
          <w:rFonts w:cs="WP TypographicSymbols" w:ascii="WP TypographicSymbols" w:hAnsi="WP TypographicSymbols"/>
        </w:rPr>
        <w:t>=</w:t>
      </w:r>
      <w:r>
        <w:rPr/>
        <w:t xml:space="preserve"> Own Motion</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6480" w:start="6480" w:end="-270"/>
        <w:rPr/>
      </w:pPr>
      <w:r>
        <w:rPr/>
        <w:t>to Consider the Costs and Benefits of Various</w:t>
        <w:tab/>
        <w:t>)</w:t>
        <w:tab/>
        <w:tab/>
        <w:t>I. 99-07-003</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Promising Revisions to the Regulatory and</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Market Structure Governing California</w:t>
      </w:r>
      <w:r>
        <w:rPr>
          <w:rFonts w:cs="WP TypographicSymbols" w:ascii="WP TypographicSymbols" w:hAnsi="WP TypographicSymbols"/>
        </w:rPr>
        <w:t>=</w:t>
      </w:r>
      <w:r>
        <w:rPr/>
        <w:t>s Natural</w:t>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Gas Industry and to Report to the California</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270"/>
        <w:rPr/>
      </w:pPr>
      <w:r>
        <w:rPr/>
        <w:t>Legislature on the Commission</w:t>
      </w:r>
      <w:r>
        <w:rPr>
          <w:rFonts w:cs="WP TypographicSymbols" w:ascii="WP TypographicSymbols" w:hAnsi="WP TypographicSymbols"/>
        </w:rPr>
        <w:t>=</w:t>
      </w:r>
      <w:r>
        <w:rPr/>
        <w:t>s Findings.</w:t>
        <w:tab/>
        <w:tab/>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t>__________________________________________)</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pPr>
      <w:r>
        <w:rPr/>
        <w:tab/>
      </w:r>
      <w:r>
        <w:rPr>
          <w:b/>
        </w:rPr>
        <w:t>OPENING BRIEF OF</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b/>
        </w:rPr>
      </w:pPr>
      <w:r>
        <w:rPr>
          <w:b/>
        </w:rPr>
        <w:tab/>
        <w:t>WESTERN HUB PROPERTIES, LLC</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b/>
        </w:rPr>
      </w:pPr>
      <w:r>
        <w:rPr>
          <w:b/>
        </w:rPr>
        <w:tab/>
        <w:t>IN SUPPORT OF</w:t>
      </w:r>
    </w:p>
    <w:p>
      <w:pPr>
        <w:pStyle w:val="Normal"/>
        <w:tabs>
          <w:tab w:val="clear" w:pos="720"/>
          <w:tab w:val="center" w:pos="4815" w:leader="none"/>
          <w:tab w:val="left" w:pos="5040" w:leader="none"/>
          <w:tab w:val="left" w:pos="5760" w:leader="none"/>
          <w:tab w:val="left" w:pos="6480" w:leader="none"/>
          <w:tab w:val="left" w:pos="7200" w:leader="none"/>
          <w:tab w:val="left" w:pos="7920" w:leader="none"/>
        </w:tabs>
        <w:ind w:end="-270"/>
        <w:rPr>
          <w:b/>
        </w:rPr>
      </w:pPr>
      <w:r>
        <w:rPr>
          <w:b/>
        </w:rPr>
        <w:tab/>
        <w:t>THE COMPREHENSIVE SETTLEMENT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27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b/>
        </w:rPr>
      </w:pPr>
      <w:r>
        <w:rPr>
          <w:b/>
        </w:rPr>
        <w:t>I.</w:t>
        <w:tab/>
      </w:r>
      <w:r>
        <w:rPr>
          <w:b/>
          <w:smallCaps/>
        </w:rPr>
        <w:t>Introduction and Executive Summary.</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270"/>
        <w:rPr/>
      </w:pPr>
      <w:r>
        <w:rPr/>
        <w:t>Western Hub Properties (</w:t>
      </w:r>
      <w:r>
        <w:rPr>
          <w:rFonts w:cs="WP TypographicSymbols" w:ascii="WP TypographicSymbols" w:hAnsi="WP TypographicSymbols"/>
        </w:rPr>
        <w:t>A</w:t>
      </w:r>
      <w:r>
        <w:rPr/>
        <w:t>WHP</w:t>
      </w:r>
      <w:r>
        <w:rPr>
          <w:rFonts w:cs="WP TypographicSymbols" w:ascii="WP TypographicSymbols" w:hAnsi="WP TypographicSymbols"/>
        </w:rPr>
        <w:t>@</w:t>
      </w:r>
      <w:r>
        <w:rPr/>
        <w:t>) files this Opening Brief in Support of the Comprehensive Settlement to declare its unyielding support for the Comprehensive Settlement and to explain, from the perspective of a competitive storage provider, why adoption of that settlement is in the best interests of California</w:t>
      </w:r>
      <w:r>
        <w:rPr>
          <w:rFonts w:cs="WP TypographicSymbols" w:ascii="WP TypographicSymbols" w:hAnsi="WP TypographicSymbols"/>
        </w:rPr>
        <w:t>=</w:t>
      </w:r>
      <w:r>
        <w:rPr/>
        <w:t>s natural gas consumers.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end="-270"/>
        <w:rPr/>
      </w:pPr>
      <w:r>
        <w:rPr/>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WHP is a company which wants to provide independent competitive gas storage services in California.  Its subsidiary, Lodi Gas Storage, LLC (</w:t>
      </w:r>
      <w:r>
        <w:rPr>
          <w:rFonts w:cs="WP TypographicSymbols" w:ascii="WP TypographicSymbols" w:hAnsi="WP TypographicSymbols"/>
        </w:rPr>
        <w:t>A</w:t>
      </w:r>
      <w:r>
        <w:rPr/>
        <w:t>LGS</w:t>
      </w:r>
      <w:r>
        <w:rPr>
          <w:rFonts w:cs="WP TypographicSymbols" w:ascii="WP TypographicSymbols" w:hAnsi="WP TypographicSymbols"/>
        </w:rPr>
        <w:t>@</w:t>
      </w:r>
      <w:r>
        <w:rPr/>
        <w:t>) recently received a certificate of public convenience and necessity to construct and operate an independent natural gas storage project in Northern California.  (D. 00-05-048.)  LGS will eventually provide about 12 Bcf of inventory capability with a firm withdrawal capability of 500 MMcfd and injection of 400 MMcfd at its Lodi facility.  WHP is also exploring storage sites in Southern California.</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WHP played a very active role in SoCalGas</w:t>
      </w:r>
      <w:r>
        <w:rPr>
          <w:rFonts w:cs="WP TypographicSymbols" w:ascii="WP TypographicSymbols" w:hAnsi="WP TypographicSymbols"/>
        </w:rPr>
        <w:t>=</w:t>
      </w:r>
      <w:r>
        <w:rPr/>
        <w:t xml:space="preserve"> last BCAP proceeding (A. 98-10-012, D. 00-04-060), and many of the storage issues from that proceeding found a forum in this phase of the Gas Industry Restructuring proceeding (</w:t>
      </w:r>
      <w:r>
        <w:rPr>
          <w:rFonts w:cs="WP TypographicSymbols" w:ascii="WP TypographicSymbols" w:hAnsi="WP TypographicSymbols"/>
        </w:rPr>
        <w:t>A</w:t>
      </w:r>
      <w:r>
        <w:rPr/>
        <w:t>GIR</w:t>
      </w:r>
      <w:r>
        <w:rPr>
          <w:rFonts w:cs="WP TypographicSymbols" w:ascii="WP TypographicSymbols" w:hAnsi="WP TypographicSymbols"/>
        </w:rPr>
        <w:t>@</w:t>
      </w:r>
      <w:r>
        <w:rPr/>
        <w:t>).  WHP participated in these proceedings because the rates and terms for storage service by SoCalGas will directly impact WHP</w:t>
      </w:r>
      <w:r>
        <w:rPr>
          <w:rFonts w:cs="WP TypographicSymbols" w:ascii="WP TypographicSymbols" w:hAnsi="WP TypographicSymbols"/>
        </w:rPr>
        <w:t>=</w:t>
      </w:r>
      <w:r>
        <w:rPr/>
        <w:t>s ability to compete for customers in SoCalGas</w:t>
      </w:r>
      <w:r>
        <w:rPr>
          <w:rFonts w:cs="WP TypographicSymbols" w:ascii="WP TypographicSymbols" w:hAnsi="WP TypographicSymbols"/>
        </w:rPr>
        <w:t>=</w:t>
      </w:r>
      <w:r>
        <w:rPr/>
        <w:t xml:space="preserve"> service territory.  WHP</w:t>
      </w:r>
      <w:r>
        <w:rPr>
          <w:rFonts w:cs="WP TypographicSymbols" w:ascii="WP TypographicSymbols" w:hAnsi="WP TypographicSymbols"/>
        </w:rPr>
        <w:t>=</w:t>
      </w:r>
      <w:r>
        <w:rPr/>
        <w:t>s ability to compete will also depend on the implementation of the Commission</w:t>
      </w:r>
      <w:r>
        <w:rPr>
          <w:rFonts w:cs="WP TypographicSymbols" w:ascii="WP TypographicSymbols" w:hAnsi="WP TypographicSymbols"/>
        </w:rPr>
        <w:t>=</w:t>
      </w:r>
      <w:r>
        <w:rPr/>
        <w:t xml:space="preserve">s </w:t>
      </w:r>
      <w:r>
        <w:rPr>
          <w:rFonts w:cs="WP TypographicSymbols" w:ascii="WP TypographicSymbols" w:hAnsi="WP TypographicSymbols"/>
        </w:rPr>
        <w:t>A</w:t>
      </w:r>
      <w:r>
        <w:rPr/>
        <w:t>let the market decide</w:t>
      </w:r>
      <w:r>
        <w:rPr>
          <w:rFonts w:cs="WP TypographicSymbols" w:ascii="WP TypographicSymbols" w:hAnsi="WP TypographicSymbols"/>
        </w:rPr>
        <w:t>@</w:t>
      </w:r>
      <w:r>
        <w:rPr/>
        <w:t xml:space="preserve"> policy which presumably will lead to a level playing field for all storage providers as they compete for business.  WHP firmly believes that the legislative and Commission policy of advancing storage competition</w:t>
      </w:r>
      <w:r>
        <w:rPr>
          <w:rStyle w:val="FootnoteCharacters"/>
          <w:rStyle w:val="FootnoteReference"/>
          <w:vertAlign w:val="superscript"/>
        </w:rPr>
        <w:footnoteReference w:id="2"/>
      </w:r>
      <w:r>
        <w:rPr/>
        <w:t xml:space="preserve"> will never become a reality in California as long as monopoly storage providers receive subsidies from captive ratepayers to make up for noncore storage revenue shortfalls.  Although this situation was somewhat mitigated by the BCAP decision (D. 00-04-060, pp. 74-76), WHP has participated actively in the GIR settlement negotiations to pursue a market structure which truly levels the playing field and allows a third party storage provider such as WHP the opportunity to compete.  To SoCalGas</w:t>
      </w:r>
      <w:r>
        <w:rPr>
          <w:rFonts w:cs="WP TypographicSymbols" w:ascii="WP TypographicSymbols" w:hAnsi="WP TypographicSymbols"/>
        </w:rPr>
        <w:t>=</w:t>
      </w:r>
      <w:r>
        <w:rPr/>
        <w:t xml:space="preserve"> credit in these negotiations, it also pursued such a market structure.</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The result of the lengthy, sometimes contentious, but ultimately successful GIR settlement negotiations is  the Comprehensive Settlement, a settlement which is supported by a broad spectrum of stakeholders in California</w:t>
      </w:r>
      <w:r>
        <w:rPr>
          <w:rFonts w:cs="WP TypographicSymbols" w:ascii="WP TypographicSymbols" w:hAnsi="WP TypographicSymbols"/>
        </w:rPr>
        <w:t>=</w:t>
      </w:r>
      <w:r>
        <w:rPr/>
        <w:t>s natural gas industry and which seeks to move that industry forward positively rather than leave it to stagnate under old regulatory regimes where old ideas still hold sway.</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In brief summary, LGS supports the Comprehensive Settlement as the preferable approach to storage issues for the following reasons: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1440" w:end="0"/>
        <w:rPr/>
      </w:pPr>
      <w:r>
        <w:rPr>
          <w:rFonts w:cs="WP TypographicSymbols" w:ascii="WP TypographicSymbols" w:hAnsi="WP TypographicSymbols"/>
        </w:rPr>
        <w:t>!</w:t>
      </w:r>
      <w:r>
        <w:rPr/>
        <w:tab/>
        <w:t>It further advances the Commission</w:t>
      </w:r>
      <w:r>
        <w:rPr>
          <w:rFonts w:cs="WP TypographicSymbols" w:ascii="WP TypographicSymbols" w:hAnsi="WP TypographicSymbols"/>
        </w:rPr>
        <w:t>=</w:t>
      </w:r>
      <w:r>
        <w:rPr/>
        <w:t xml:space="preserve">s </w:t>
      </w:r>
      <w:r>
        <w:rPr>
          <w:rFonts w:cs="WP TypographicSymbols" w:ascii="WP TypographicSymbols" w:hAnsi="WP TypographicSymbols"/>
        </w:rPr>
        <w:t>A</w:t>
      </w:r>
      <w:r>
        <w:rPr/>
        <w:t>let the market decide policy</w:t>
      </w:r>
      <w:r>
        <w:rPr>
          <w:rFonts w:cs="WP TypographicSymbols" w:ascii="WP TypographicSymbols" w:hAnsi="WP TypographicSymbols"/>
        </w:rPr>
        <w:t>@</w:t>
      </w:r>
      <w:r>
        <w:rPr/>
        <w:t xml:space="preserve"> by leveling the playing field for all storage competitors, placing SoCalGas at risk for unrecovered noncore storage revenues after a brief transition period.</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1440" w:end="0"/>
        <w:rPr/>
      </w:pPr>
      <w:r>
        <w:rPr>
          <w:rFonts w:cs="WP TypographicSymbols" w:ascii="WP TypographicSymbols" w:hAnsi="WP TypographicSymbols"/>
        </w:rPr>
        <w:t>!</w:t>
      </w:r>
      <w:r>
        <w:rPr/>
        <w:tab/>
        <w:t>It unbundles storage costs from customers</w:t>
      </w:r>
      <w:r>
        <w:rPr>
          <w:rFonts w:cs="WP TypographicSymbols" w:ascii="WP TypographicSymbols" w:hAnsi="WP TypographicSymbols"/>
        </w:rPr>
        <w:t>=</w:t>
      </w:r>
      <w:r>
        <w:rPr/>
        <w:t xml:space="preserve"> rates on an embedded cost basis.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1440" w:end="0"/>
        <w:rPr/>
      </w:pPr>
      <w:r>
        <w:rPr>
          <w:rFonts w:cs="WP TypographicSymbols" w:ascii="WP TypographicSymbols" w:hAnsi="WP TypographicSymbols"/>
        </w:rPr>
        <w:t>!</w:t>
      </w:r>
      <w:r>
        <w:rPr/>
        <w:tab/>
        <w:t>The unbundling contemplates the development of a robust secondary market for storage services.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1440" w:end="0"/>
        <w:rPr/>
      </w:pPr>
      <w:r>
        <w:rPr>
          <w:rFonts w:cs="WP TypographicSymbols" w:ascii="WP TypographicSymbols" w:hAnsi="WP TypographicSymbols"/>
        </w:rPr>
        <w:t>!</w:t>
      </w:r>
      <w:r>
        <w:rPr/>
        <w:tab/>
        <w:t xml:space="preserve">In recognition of the need to level the playing field for </w:t>
      </w:r>
      <w:r>
        <w:rPr>
          <w:i/>
        </w:rPr>
        <w:t>all</w:t>
      </w:r>
      <w:r>
        <w:rPr/>
        <w:t xml:space="preserve"> storage competitors, it provides SoCalGas with pricing flexibility in recognition of the new cost recovery risk it will face, while also allowing pricing flexibility if SoCalGas voluntarily divests storage assets.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hanging="720" w:start="1440" w:end="0"/>
        <w:rPr/>
      </w:pPr>
      <w:r>
        <w:rPr>
          <w:rFonts w:cs="WP TypographicSymbols" w:ascii="WP TypographicSymbols" w:hAnsi="WP TypographicSymbols"/>
        </w:rPr>
        <w:t>!</w:t>
      </w:r>
      <w:r>
        <w:rPr/>
        <w:tab/>
        <w:t xml:space="preserve">It represents progress in the storage marketplace, rather than stagnation.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WHP enthusiastically urges the Commission to adopt the Comprehensive Settlement.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b/>
          <w:smallCaps/>
        </w:rPr>
      </w:pPr>
      <w:r>
        <w:rPr>
          <w:b/>
          <w:smallCaps/>
        </w:rPr>
        <w:t xml:space="preserve">II.  </w:t>
        <w:tab/>
        <w:t>The Comprehensive Settlement is the result of lengthy, robust negotiations which included ALL parties in the industry.</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b/>
          <w:smallCaps/>
        </w:rPr>
      </w:pPr>
      <w:r>
        <w:rPr>
          <w:b/>
          <w:smallCaps/>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The Comprehensive Settlement complies with this very important directive in Commission D.99-07-015:</w:t>
      </w:r>
    </w:p>
    <w:p>
      <w:pPr>
        <w:pStyle w:val="BodyTextI1"/>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pPr>
      <w:r>
        <w:rPr/>
        <w:t xml:space="preserve">It is critical that any agreement reflect an appropriate balance of the interests of all stakeholders affected by the outcome in this proceeding.  For this reason, no interested parties should be excluded from the negotiating process.  All interested parties should have a place at the table directly, or through a caucus representative.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t>(</w:t>
      </w:r>
      <w:r>
        <w:rPr>
          <w:u w:val="single"/>
        </w:rPr>
        <w:t>Id</w:t>
      </w:r>
      <w:r>
        <w:rPr/>
        <w:t>., p. 135.)</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WHP welcomed the opportunity to be </w:t>
      </w:r>
      <w:r>
        <w:rPr>
          <w:rFonts w:cs="WP TypographicSymbols" w:ascii="WP TypographicSymbols" w:hAnsi="WP TypographicSymbols"/>
        </w:rPr>
        <w:t>A</w:t>
      </w:r>
      <w:r>
        <w:rPr/>
        <w:t>at the table</w:t>
      </w:r>
      <w:r>
        <w:rPr>
          <w:rFonts w:cs="WP TypographicSymbols" w:ascii="WP TypographicSymbols" w:hAnsi="WP TypographicSymbols"/>
        </w:rPr>
        <w:t>@</w:t>
      </w:r>
      <w:r>
        <w:rPr/>
        <w:t xml:space="preserve"> from the outset of these GIR settlement negotiations, and used that forum to provide input and be a part of the solution in reaching resolution of a number of very important issues regarding natural gas storage services in California.  </w:t>
      </w:r>
      <w:r>
        <w:rPr>
          <w:i/>
        </w:rPr>
        <w:t xml:space="preserve">WHP believes it is vital to recognize that </w:t>
      </w:r>
      <w:r>
        <w:rPr>
          <w:b/>
          <w:i/>
        </w:rPr>
        <w:t>every other stakeholder</w:t>
      </w:r>
      <w:r>
        <w:rPr>
          <w:i/>
        </w:rPr>
        <w:t xml:space="preserve"> also had that same opportunity in the course of the negotiation of the Comprehensive Settlement</w:t>
      </w:r>
      <w:r>
        <w:rPr/>
        <w:t>.  WHP strongly recommends that the Commission adopt the Comprehensive Settlement.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b/>
        </w:rPr>
      </w:pPr>
      <w:r>
        <w:rPr>
          <w:b/>
          <w:smallCaps/>
        </w:rPr>
        <w:t xml:space="preserve">III. </w:t>
        <w:tab/>
        <w:t>The new market structure for storage and balancing services envisioned by the Comprehensive Settlement furthers the CPUC</w:t>
      </w:r>
      <w:r>
        <w:rPr>
          <w:rFonts w:cs="WP TypographicSymbols" w:ascii="WP TypographicSymbols" w:hAnsi="WP TypographicSymbols"/>
          <w:b/>
        </w:rPr>
        <w:t>=</w:t>
      </w:r>
      <w:r>
        <w:rPr>
          <w:b/>
          <w:smallCaps/>
        </w:rPr>
        <w:t xml:space="preserve">s vision that began with D. 93-02-013, the </w:t>
      </w:r>
      <w:r>
        <w:rPr>
          <w:rFonts w:cs="WP TypographicSymbols" w:ascii="WP TypographicSymbols" w:hAnsi="WP TypographicSymbols"/>
          <w:b/>
        </w:rPr>
        <w:t>A</w:t>
      </w:r>
      <w:r>
        <w:rPr>
          <w:b/>
          <w:smallCaps/>
        </w:rPr>
        <w:t>Storage Decision</w:t>
      </w:r>
      <w:r>
        <w:rPr>
          <w:rFonts w:cs="WP TypographicSymbols" w:ascii="WP TypographicSymbols" w:hAnsi="WP TypographicSymbols"/>
          <w:b/>
        </w:rPr>
        <w:t>@</w:t>
      </w:r>
      <w:r>
        <w:rPr>
          <w:b/>
          <w:smallCaps/>
        </w:rPr>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The Storage Decision was issued seven years ago and in one aspect intended to respond to the direction urged by the Legislature in AB 2744.  (D. 93-02-013, </w:t>
      </w:r>
      <w:r>
        <w:rPr>
          <w:i/>
        </w:rPr>
        <w:t>mimeo</w:t>
      </w:r>
      <w:r>
        <w:rPr/>
        <w:t>,  FOF 8, p. 61.)  AB 2744 made certain findings about the benefits of a competitive storage market, which the Commission endorsed, and intended to implement, with the Storage Decision.  (</w:t>
      </w:r>
      <w:r>
        <w:rPr>
          <w:u w:val="single"/>
        </w:rPr>
        <w:t>Id</w:t>
      </w:r>
      <w:r>
        <w:rPr/>
        <w:t xml:space="preserve">., p. 26.)  Along these lines, the Storage Decision also confirmed the vital </w:t>
      </w:r>
      <w:r>
        <w:rPr>
          <w:rFonts w:cs="WP TypographicSymbols" w:ascii="WP TypographicSymbols" w:hAnsi="WP TypographicSymbols"/>
        </w:rPr>
        <w:t>A</w:t>
      </w:r>
      <w:r>
        <w:rPr/>
        <w:t>let the market decide</w:t>
      </w:r>
      <w:r>
        <w:rPr>
          <w:rFonts w:cs="WP TypographicSymbols" w:ascii="WP TypographicSymbols" w:hAnsi="WP TypographicSymbols"/>
        </w:rPr>
        <w:t>@</w:t>
      </w:r>
      <w:r>
        <w:rPr/>
        <w:t xml:space="preserve"> policy that the Commission had previously adopted regarding expansion of pipeline transmission systems.  (</w:t>
      </w:r>
      <w:r>
        <w:rPr>
          <w:u w:val="single"/>
        </w:rPr>
        <w:t>Id</w:t>
      </w:r>
      <w:r>
        <w:rPr/>
        <w:t xml:space="preserve">., pp.8-11.)  This </w:t>
      </w:r>
      <w:r>
        <w:rPr>
          <w:rFonts w:cs="WP TypographicSymbols" w:ascii="WP TypographicSymbols" w:hAnsi="WP TypographicSymbols"/>
        </w:rPr>
        <w:t>A</w:t>
      </w:r>
      <w:r>
        <w:rPr/>
        <w:t>let the market decide</w:t>
      </w:r>
      <w:r>
        <w:rPr>
          <w:rFonts w:cs="WP TypographicSymbols" w:ascii="WP TypographicSymbols" w:hAnsi="WP TypographicSymbols"/>
        </w:rPr>
        <w:t>@</w:t>
      </w:r>
      <w:r>
        <w:rPr/>
        <w:t xml:space="preserve"> policy has evolved since its first implementation in the PG&amp;E Expansion case, where the Commission was explicit regarding the direction it intended to take.  (D.92-10-056, p. 10.)   The Commission has been less explicit in directing the execution of this policy with regard to independent storage facilities in California.  On cross-examination, WHP witness Mr. Burkholder testified that there is no explicit </w:t>
      </w:r>
      <w:r>
        <w:rPr>
          <w:rFonts w:cs="WP TypographicSymbols" w:ascii="WP TypographicSymbols" w:hAnsi="WP TypographicSymbols"/>
        </w:rPr>
        <w:t>A</w:t>
      </w:r>
      <w:r>
        <w:rPr/>
        <w:t>test</w:t>
      </w:r>
      <w:r>
        <w:rPr>
          <w:rFonts w:cs="WP TypographicSymbols" w:ascii="WP TypographicSymbols" w:hAnsi="WP TypographicSymbols"/>
        </w:rPr>
        <w:t>@</w:t>
      </w:r>
      <w:r>
        <w:rPr/>
        <w:t xml:space="preserve">, or other market demand measure, that the Commission should use in its approval of independent storage providers.  (TR, p. 646 [6/5/00].)  However, the approval a few years ago of the Wild Goose Storage facility, and the very recent approval of the Lodi Gas Storage facility, is a clear indication that the Commission continues to pursue  a </w:t>
      </w:r>
      <w:r>
        <w:rPr>
          <w:rFonts w:cs="WP TypographicSymbols" w:ascii="WP TypographicSymbols" w:hAnsi="WP TypographicSymbols"/>
        </w:rPr>
        <w:t>A</w:t>
      </w:r>
      <w:r>
        <w:rPr/>
        <w:t>market decision</w:t>
      </w:r>
      <w:r>
        <w:rPr>
          <w:rFonts w:cs="WP TypographicSymbols" w:ascii="WP TypographicSymbols" w:hAnsi="WP TypographicSymbols"/>
        </w:rPr>
        <w:t>@</w:t>
      </w:r>
      <w:r>
        <w:rPr/>
        <w:t xml:space="preserve"> for natural gas storage in California.  This direction began for gas storage with AB 2744 and the Storage Decision, and now, seven years later, if this Comprehensive Settlement is implemented, will yield a robust, viable, and competitive storage market in California, with important benefits to all users and industry participants.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Adoption of the Comprehensive Settlement is vital for this progress to continue.  In WHP</w:t>
      </w:r>
      <w:r>
        <w:rPr>
          <w:rFonts w:cs="WP TypographicSymbols" w:ascii="WP TypographicSymbols" w:hAnsi="WP TypographicSymbols"/>
        </w:rPr>
        <w:t>=</w:t>
      </w:r>
      <w:r>
        <w:rPr/>
        <w:t>s opinion, there currently is no effective competition for gas storage services in SoCalGas' service area.  Currently SoCalGas is the only provider of storage services located in its service territory.  Core Aggregation Transportation marketers (</w:t>
      </w:r>
      <w:r>
        <w:rPr>
          <w:rFonts w:cs="WP TypographicSymbols" w:ascii="WP TypographicSymbols" w:hAnsi="WP TypographicSymbols"/>
        </w:rPr>
        <w:t>A</w:t>
      </w:r>
      <w:r>
        <w:rPr/>
        <w:t>CTAs</w:t>
      </w:r>
      <w:r>
        <w:rPr>
          <w:rFonts w:cs="WP TypographicSymbols" w:ascii="WP TypographicSymbols" w:hAnsi="WP TypographicSymbols"/>
        </w:rPr>
        <w:t>@</w:t>
      </w:r>
      <w:r>
        <w:rPr/>
        <w:t>) are required to accept a pro rata share of core allocated storage, which can only be storage owned by SoCalGas.  SoCalGas' core procurement group has no option to procure storage from alternate providers, even if this would provide customer benefits.  In addition, SoCalGas has not been not at risk for storage costs due to the existence (until recently) of complete balancing account protection for unrecovered noncore storage costs via the NSBA.  Further, SoCalGas</w:t>
      </w:r>
      <w:r>
        <w:rPr>
          <w:rFonts w:cs="WP TypographicSymbols" w:ascii="WP TypographicSymbols" w:hAnsi="WP TypographicSymbols"/>
        </w:rPr>
        <w:t>=</w:t>
      </w:r>
      <w:r>
        <w:rPr/>
        <w:t xml:space="preserve"> storage assets have been largely depreciated (at ratepayer risk and expense) in the current regulatory structure.  WHP believes these existing procedures have hindered competition and have raised a significant barrier to entry by alternate providers of storage services.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By contrast, all other potential providers of storage in SoCalGas</w:t>
      </w:r>
      <w:r>
        <w:rPr>
          <w:rFonts w:cs="WP TypographicSymbols" w:ascii="WP TypographicSymbols" w:hAnsi="WP TypographicSymbols"/>
        </w:rPr>
        <w:t>=</w:t>
      </w:r>
      <w:r>
        <w:rPr/>
        <w:t xml:space="preserve"> service area are fully at risk for all their embedded costs (which is the situation with PG&amp;E and independent providers).  Independent providers such as WHP and it subsidiary LGS are trying to enter this market with un-depreciated capital expenses.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WHP believes SoCalGas should have a fair chance to recover its investment in storage facilities, just like other storage providers should.  To enhance competition and promote a level playing field in storage services, SoCalGas should be in a "similarly situated" posture to that of other potential noncore storage service providers.  To continue protecting SoCalGas from the risks of the market creates a significant market imperfection and a barrier to effective competition.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To its credit, SoCalGas recognized the need to address these issues as part of the GIR settlement process, and has agreed, with a host of other parties, to a Comprehensive Settlement which resolves a number of the thornier areas of contention.  The Comprehensive Settlement takes a significant step towards leveling the playing field by placing SoCalGas at risk for unbundled storage revenues starting the third year of the term and allowing third party storage providers at least the market structure to compete against the IOUs.  The eventual assumption of 100% of the risk of unbundled storage capacity revenues by SoCalGas, commensurate with the pricing flexibility afforded SoCalGas, is an issue that the Commission should recognize was a hard-fought compromise of two divergent viewpoints in this settlement that helps level the playing field for both the utility and third party storage providers.  The real beneficiaries of this new, competitive storage market will be the California natural gas consumers.</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b/>
        </w:rPr>
      </w:pPr>
      <w:r>
        <w:rPr>
          <w:b/>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pPr>
      <w:r>
        <w:rPr/>
        <w:t xml:space="preserve">It is important to recognize that third party storage providers are not going to put any incumbent utility out of the storage business in the foreseeable future.  Wherever it comes into a new market WHP has a concern over any existing or potential market power and justifiably seeks a level playing field in that regard.  WHP recognizes the California market as a business opportunity and is willing to compete for it.  It believes it has a fair shot of doing so under the terms of the Comprehensive Settlement, and urges the Commission to adopt it. </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smallCaps/>
        </w:rPr>
      </w:pPr>
      <w:r>
        <w:rPr>
          <w:smallCaps/>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b/>
          <w:smallCaps/>
        </w:rPr>
        <w:t xml:space="preserve">IV. </w:t>
        <w:tab/>
        <w:t>The Comprehensive Settlement complies with the Commission</w:t>
      </w:r>
      <w:r>
        <w:rPr>
          <w:rFonts w:cs="WP TypographicSymbols" w:ascii="WP TypographicSymbols" w:hAnsi="WP TypographicSymbols"/>
          <w:b/>
        </w:rPr>
        <w:t>=</w:t>
      </w:r>
      <w:r>
        <w:rPr>
          <w:b/>
          <w:smallCaps/>
        </w:rPr>
        <w:t>s Promising Options in D. 99-07-015</w:t>
      </w:r>
      <w:r>
        <w:rPr/>
        <w:t>.</w:t>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rPr/>
      </w:pPr>
      <w:r>
        <w:rPr/>
      </w:r>
    </w:p>
    <w:p>
      <w:pPr>
        <w:pStyle w:val="Norma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360"/>
        <w:ind w:firstLine="720" w:end="0"/>
        <w:rPr>
          <w:b/>
        </w:rPr>
      </w:pPr>
      <w:r>
        <w:rPr/>
        <w:t>In D.99-07-015, the Commission identified a series of options that had surfaced in the GIR</w:t>
      </w:r>
      <w:r>
        <w:rPr>
          <w:rFonts w:cs="WP TypographicSymbols" w:ascii="WP TypographicSymbols" w:hAnsi="WP TypographicSymbols"/>
        </w:rPr>
        <w:t>=</w:t>
      </w:r>
      <w:r>
        <w:rPr/>
        <w:t>s first phase, identifying some as promising and others as not.  (</w:t>
      </w:r>
      <w:r>
        <w:rPr>
          <w:u w:val="single"/>
        </w:rPr>
        <w:t>Id</w:t>
      </w:r>
      <w:r>
        <w:rPr/>
        <w:t xml:space="preserve">., Appendix C.)  In order to arrive at the important series of compromises that were necessary to settle comprehensively the issues in the GIR, the Comprehensive Settlement eventually wound up addressing five of those options in the storage arena, including ones considered promising and ones seen as not promising.  They are all discussed below.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ind w:firstLine="720" w:end="0"/>
        <w:rPr>
          <w:b/>
        </w:rPr>
      </w:pPr>
      <w:r>
        <w:rPr>
          <w:b/>
        </w:rPr>
        <w:t>1.</w:t>
        <w:tab/>
        <w:t>Create firm, tradable storage rights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rPr>
          <w:b/>
        </w:rPr>
      </w:pPr>
      <w:r>
        <w:rPr>
          <w:b/>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ind w:firstLine="720" w:end="0"/>
        <w:rPr/>
      </w:pPr>
      <w:r>
        <w:rPr/>
        <w:t xml:space="preserve">The Comprehensive Settlement accomplishes this </w:t>
      </w:r>
      <w:r>
        <w:rPr>
          <w:rFonts w:cs="WP TypographicSymbols" w:ascii="WP TypographicSymbols" w:hAnsi="WP TypographicSymbols"/>
        </w:rPr>
        <w:t>A</w:t>
      </w:r>
      <w:r>
        <w:rPr/>
        <w:t>promising option</w:t>
      </w:r>
      <w:r>
        <w:rPr>
          <w:rFonts w:cs="WP TypographicSymbols" w:ascii="WP TypographicSymbols" w:hAnsi="WP TypographicSymbols"/>
        </w:rPr>
        <w:t>@</w:t>
      </w:r>
      <w:r>
        <w:rPr/>
        <w:t xml:space="preserve"> by unbundling storage costs from customers</w:t>
      </w:r>
      <w:r>
        <w:rPr>
          <w:rFonts w:cs="WP TypographicSymbols" w:ascii="WP TypographicSymbols" w:hAnsi="WP TypographicSymbols"/>
        </w:rPr>
        <w:t>=</w:t>
      </w:r>
      <w:r>
        <w:rPr/>
        <w:t xml:space="preserve"> rates.  Importantly, this unbundling is done on an embedded cost basis.  The current LRMC methodology has been very controversial in recent BCAPs, especially with regard to the resource plans.  Responding to a question from ALJ Biren during the recent hearings, WHP witness John Burkholder provided a cogent explanation of the deficiencies in the current LRMC process regarding these resource plans. (TR, pp. 654-57 [6/5/00] .)  The Comprehensive Settlement eliminates these controversial Resource Plans through the use of embedded costs.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ind w:firstLine="720" w:end="0"/>
        <w:rPr/>
      </w:pPr>
      <w:r>
        <w:rPr/>
        <w:t>Price efficiency dictates that customers should know and pay the real cost of service, which WHP believes is the embedded cost.  As competitors, WHP and others should be allowed to compete for storage services on the basis of utility rates that are based on embedded costs, free from cross-subsidies.  Under the Comprehensive Settlement, storage service customers will have the opportunity to make an informed, economic decision about storage providers.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rPr>
          <w:b/>
        </w:rPr>
      </w:pPr>
      <w:r>
        <w:rPr>
          <w:b/>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ind w:firstLine="720" w:end="0"/>
        <w:rPr/>
      </w:pPr>
      <w:r>
        <w:rPr/>
        <w:t>Another bonus in shifting to embedded costs for storage (and transmission) is that besides the immediate benefits to customers, this transition can be instituted without any real implementation costs.  A few changes to the cost allocation model, essentially already done, and rates are calculated, ready for a tariff filing.  These cost savings could be applied to other implementation costs in the settlement.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1440" w:end="0"/>
        <w:rPr>
          <w:b/>
        </w:rPr>
      </w:pPr>
      <w:r>
        <w:rPr>
          <w:b/>
        </w:rPr>
        <w:t>2.</w:t>
        <w:tab/>
        <w:t>Establish a secondary market for intrastate storage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The Comprehensive Settlement unbundling condition contemplates the development of a robust secondary market for storage services.  This is in the best interest of all storage service customers, including core customers, as well as marketers and other storage providers.</w:t>
      </w:r>
    </w:p>
    <w:p>
      <w:pPr>
        <w:pStyle w:val="BodyTextI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pPr>
      <w:r>
        <w:rPr/>
      </w:r>
    </w:p>
    <w:p>
      <w:pPr>
        <w:pStyle w:val="Level2"/>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b/>
        </w:rPr>
        <w:t>Place the utility at risk for unused resources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WHP has already fully discussed the Comprehensive Settlement</w:t>
      </w:r>
      <w:r>
        <w:rPr>
          <w:rFonts w:cs="WP TypographicSymbols" w:ascii="WP TypographicSymbols" w:hAnsi="WP TypographicSymbols"/>
        </w:rPr>
        <w:t>=</w:t>
      </w:r>
      <w:r>
        <w:rPr/>
        <w:t xml:space="preserve">s response to this </w:t>
      </w:r>
      <w:r>
        <w:rPr>
          <w:rFonts w:cs="WP TypographicSymbols" w:ascii="WP TypographicSymbols" w:hAnsi="WP TypographicSymbols"/>
        </w:rPr>
        <w:t>A</w:t>
      </w:r>
      <w:r>
        <w:rPr/>
        <w:t>promising option</w:t>
      </w:r>
      <w:r>
        <w:rPr>
          <w:rFonts w:cs="WP TypographicSymbols" w:ascii="WP TypographicSymbols" w:hAnsi="WP TypographicSymbols"/>
        </w:rPr>
        <w:t>@</w:t>
      </w:r>
      <w:r>
        <w:rPr/>
        <w:t xml:space="preserve"> above, and will not repeat that analysis here except to state its belief that the Comprehensive Settlement</w:t>
      </w:r>
      <w:r>
        <w:rPr>
          <w:rFonts w:cs="WP TypographicSymbols" w:ascii="WP TypographicSymbols" w:hAnsi="WP TypographicSymbols"/>
        </w:rPr>
        <w:t>=</w:t>
      </w:r>
      <w:r>
        <w:rPr/>
        <w:t xml:space="preserve">s treatment of this issue will lead to a much more competitive market for storage services in Southern California, to the benefit of market participants and consumers alike.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b/>
        </w:rPr>
      </w:pPr>
      <w:r>
        <w:rPr>
          <w:b/>
        </w:rPr>
        <w:t>4.</w:t>
        <w:tab/>
        <w:t>Grant SoCalGas unlimited pricing flexibility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 xml:space="preserve">This issue was identified as </w:t>
      </w:r>
      <w:r>
        <w:rPr>
          <w:rFonts w:cs="WP TypographicSymbols" w:ascii="WP TypographicSymbols" w:hAnsi="WP TypographicSymbols"/>
        </w:rPr>
        <w:t>A</w:t>
      </w:r>
      <w:r>
        <w:rPr/>
        <w:t>not promising at this time</w:t>
      </w:r>
      <w:r>
        <w:rPr>
          <w:rFonts w:cs="WP TypographicSymbols" w:ascii="WP TypographicSymbols" w:hAnsi="WP TypographicSymbols"/>
        </w:rPr>
        <w:t>@</w:t>
      </w:r>
      <w:r>
        <w:rPr/>
        <w:t xml:space="preserve"> in Appendix C of D. 99-07-015.  The Commission concluded that SoCalGas should not have unlimited pricing flexibility.  However, the Comprehensive Settlement does provide SoCalGas appropriate pricing flexibility, in recognition of the cost recovery risk it will be facing.  WHP agreed to this as a potential storage competitor of SoCalGas, and believes that, under the circumstances that will be in place after approval of the Comprehensive Settlement, such flexibility is warranted.  Further, utility pricing flexibility enhances the possibility of a more robust secondary market for storage services, which would benefit all customers.   </w:t>
      </w:r>
    </w:p>
    <w:p>
      <w:pPr>
        <w:pStyle w:val="BodyTextI2"/>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1440" w:end="0"/>
        <w:rPr>
          <w:b/>
        </w:rPr>
      </w:pPr>
      <w:r>
        <w:rPr>
          <w:b/>
        </w:rPr>
        <w:t>5.</w:t>
        <w:tab/>
        <w:t>Utility divestiture of storage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 xml:space="preserve">This issue was also identified as </w:t>
      </w:r>
      <w:r>
        <w:rPr>
          <w:rFonts w:cs="WP TypographicSymbols" w:ascii="WP TypographicSymbols" w:hAnsi="WP TypographicSymbols"/>
        </w:rPr>
        <w:t>A</w:t>
      </w:r>
      <w:r>
        <w:rPr/>
        <w:t>not promising</w:t>
      </w:r>
      <w:r>
        <w:rPr>
          <w:rFonts w:cs="WP TypographicSymbols" w:ascii="WP TypographicSymbols" w:hAnsi="WP TypographicSymbols"/>
        </w:rPr>
        <w:t>@</w:t>
      </w:r>
      <w:r>
        <w:rPr/>
        <w:t xml:space="preserve"> in D.99-07-015.  While the Comprehensive Settlement does not propose this condition, it will allow increased pricing flexibility for its storage services if SoCalGas voluntarily does divest storage assets.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720" w:start="720" w:end="0"/>
        <w:rPr>
          <w:b/>
          <w:smallCaps/>
        </w:rPr>
      </w:pPr>
      <w:r>
        <w:rPr>
          <w:b/>
          <w:smallCaps/>
        </w:rPr>
        <w:t xml:space="preserve">V.  </w:t>
        <w:tab/>
        <w:t>The Commission should adopt the Comprehensive Settlement and reject the Interim/Post-Interim Settlement.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b/>
          <w:smallCaps/>
        </w:rPr>
      </w:pPr>
      <w:r>
        <w:rPr>
          <w:b/>
          <w:smallCaps/>
        </w:rPr>
      </w:r>
    </w:p>
    <w:p>
      <w:pPr>
        <w:sectPr>
          <w:footnotePr>
            <w:numFmt w:val="decimal"/>
          </w:footnotePr>
          <w:type w:val="continuous"/>
          <w:pgSz w:w="12240" w:h="15840"/>
          <w:pgMar w:left="1440" w:right="1170" w:gutter="0" w:header="0" w:top="1440" w:footer="1440" w:bottom="149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 xml:space="preserve">The principal distinction between the Comprehensive Settlement and the Interim/Post- Interim settlement preferred by SCGC/TURN may be summed up in one word: progress.  With regard to storage, the Interim/Post-Interim Settlement Agreement is essentially a </w:t>
      </w:r>
      <w:r>
        <w:rPr>
          <w:rFonts w:cs="WP TypographicSymbols" w:ascii="WP TypographicSymbols" w:hAnsi="WP TypographicSymbols"/>
        </w:rPr>
        <w:t>A</w:t>
      </w:r>
      <w:r>
        <w:rPr/>
        <w:t>do nothing</w:t>
      </w:r>
      <w:r>
        <w:rPr>
          <w:rFonts w:cs="WP TypographicSymbols" w:ascii="WP TypographicSymbols" w:hAnsi="WP TypographicSymbols"/>
        </w:rPr>
        <w:t>@</w:t>
      </w:r>
      <w:r>
        <w:rPr/>
        <w:t xml:space="preserve"> restructuring proposal.  Fundamentally, the Interim/Post-Interim Settlement has no unbundling of storage and balancing costs, and has no shift  to </w:t>
      </w:r>
      <w:r>
        <w:rPr>
          <w:rFonts w:cs="WP TypographicSymbols" w:ascii="WP TypographicSymbols" w:hAnsi="WP TypographicSymbols"/>
        </w:rPr>
        <w:t>A</w:t>
      </w:r>
      <w:r>
        <w:rPr/>
        <w:t>real</w:t>
      </w:r>
      <w:r>
        <w:rPr>
          <w:rFonts w:cs="WP TypographicSymbols" w:ascii="WP TypographicSymbols" w:hAnsi="WP TypographicSymbols"/>
        </w:rPr>
        <w:t>@</w:t>
      </w:r>
      <w:r>
        <w:rPr/>
        <w:t xml:space="preserve"> dollar rates, as California customers desire, and as the Comprehensive Settlement advances.  Without progress in this area, customers cannot effectively make economic choices about their storage and balancing service needs.  Competition in storage and balancing services is also further stifled by the Interim/Post Interim Settlement with its status quo approach concerning customer storage and balancing service choices.  Under the Comprehensive Settlement, all customers will have the opportunity to manage their storage and balancing needs with true economic choices regarding them, either with the utility as a default, or by contracting with other service providers .  The Interim/Post Interim Settlement would have California customers </w:t>
      </w:r>
      <w:r>
        <w:rPr>
          <w:rFonts w:cs="WP TypographicSymbols" w:ascii="WP TypographicSymbols" w:hAnsi="WP TypographicSymbols"/>
        </w:rPr>
        <w:t>A</w:t>
      </w:r>
      <w:r>
        <w:rPr/>
        <w:t>wait and see</w:t>
      </w:r>
      <w:r>
        <w:rPr>
          <w:rFonts w:cs="WP TypographicSymbols" w:ascii="WP TypographicSymbols" w:hAnsi="WP TypographicSymbols"/>
        </w:rPr>
        <w:t>@</w:t>
      </w:r>
      <w:r>
        <w:rPr/>
        <w:t xml:space="preserve"> another three years, and endure another contentious BCAP proceeding, to </w:t>
      </w:r>
      <w:r>
        <w:rPr>
          <w:rFonts w:cs="WP TypographicSymbols" w:ascii="WP TypographicSymbols" w:hAnsi="WP TypographicSymbols"/>
        </w:rPr>
        <w:t>B</w:t>
      </w:r>
      <w:r>
        <w:rPr/>
        <w:t xml:space="preserve"> perhaps </w:t>
      </w:r>
      <w:r>
        <w:rPr>
          <w:rFonts w:cs="WP TypographicSymbols" w:ascii="WP TypographicSymbols" w:hAnsi="WP TypographicSymbols"/>
        </w:rPr>
        <w:t>B</w:t>
      </w:r>
      <w:r>
        <w:rPr/>
        <w:t xml:space="preserve"> advance the current market structure.  This is not progress, and given the inherent lags in energy regulation at its best, is not the solution to the problems that are facing California energy providers and consumers today.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 xml:space="preserve">The Comprehensive Settlement represents progress, and should be adopted by the Commission.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hanging="720" w:start="720" w:end="0"/>
        <w:rPr>
          <w:b/>
          <w:smallCaps/>
        </w:rPr>
      </w:pPr>
      <w:r>
        <w:rPr>
          <w:b/>
          <w:smallCaps/>
        </w:rPr>
        <w:t xml:space="preserve">VI.  </w:t>
        <w:tab/>
        <w:t>Implementation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As directed by the ALJ in hearings, briefs were to include a proposed implementation process.  WHP has reviewed and agrees with the implementation process included in the SoCalGas/SDG&amp;E opening brief.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b/>
          <w:smallCaps/>
        </w:rPr>
      </w:pPr>
      <w:r>
        <w:rPr>
          <w:b/>
          <w:smallCap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hanging="720" w:start="720" w:end="0"/>
        <w:rPr>
          <w:b/>
          <w:smallCaps/>
        </w:rPr>
      </w:pPr>
      <w:r>
        <w:rPr>
          <w:b/>
          <w:smallCaps/>
        </w:rPr>
        <w:t xml:space="preserve">VII.  </w:t>
        <w:tab/>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firstLine="720" w:end="0"/>
        <w:rPr/>
      </w:pPr>
      <w:r>
        <w:rPr/>
        <w:t>For the reasons stated above, WHP unhesitatingly supports the Comprehensive Settlement and strongly urges the Commission to adopt it in its entirety.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hanging="3600" w:start="3600" w:end="0"/>
        <w:rPr/>
      </w:pPr>
      <w:r>
        <w:rPr/>
        <w:t>Dated:   July __, 2000</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3600" w:end="0"/>
        <w:rPr/>
      </w:pPr>
      <w:r>
        <w:rPr/>
        <w:t>DOWNEY, BRAND, SEYMOUR &amp; ROHWER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3600" w:end="0"/>
        <w:rPr/>
      </w:pPr>
      <w:r>
        <w:rPr/>
        <w:t>By:______________________________________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Philip A. Stohr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Dan L.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Ann L. Trowbridge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Downey, Brand, Seymour &amp; Rohwer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555 Capitol Mall, 10</w:t>
      </w:r>
      <w:r>
        <w:rPr>
          <w:vertAlign w:val="superscript"/>
        </w:rPr>
        <w:t>th</w:t>
      </w:r>
      <w:r>
        <w:rPr/>
        <w:t xml:space="preserve"> Floor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pPr>
      <w:r>
        <w:rPr/>
        <w:t>Sacramento, California 95814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firstLine="4320" w:end="0"/>
        <w:rPr>
          <w:b/>
        </w:rPr>
      </w:pPr>
      <w:r>
        <w:rPr>
          <w:b/>
        </w:rPr>
        <w:t>Attorneys for Western Hub Properties,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rPr>
          <w:b/>
        </w:rPr>
      </w:pPr>
      <w:r>
        <w:rPr>
          <w:b/>
        </w:rPr>
      </w:r>
    </w:p>
    <w:sectPr>
      <w:footnotePr>
        <w:numFmt w:val="decimal"/>
      </w:footnotePr>
      <w:type w:val="continuous"/>
      <w:pgSz w:w="12240" w:h="15840"/>
      <w:pgMar w:left="1440" w:right="117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#inal.ersion </w:t>
    </w:r>
    <w:r>
      <w:fldChar w:fldCharType="begin"/>
    </w:r>
    <w:r>
      <w:rPr/>
      <w:instrText xml:space="preserve">ADVANCE \u10</w:instrText>
    </w:r>
    <w:r>
      <w:rPr/>
    </w:r>
    <w:r>
      <w:rPr/>
      <w:fldChar w:fldCharType="separate"/>
    </w:r>
    <w:r>
      <w:rPr/>
    </w:r>
    <w:r/>
    <w:r>
      <w:rPr/>
      <w:fldChar w:fldCharType="end"/>
    </w: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fldChar w:fldCharType="begin"/>
    </w:r>
    <w:r>
      <w:rPr/>
      <w:instrText xml:space="preserve">ADVANCE \d10</w:instrText>
    </w:r>
    <w:r>
      <w:rPr/>
    </w:r>
    <w:r>
      <w:rPr/>
      <w:fldChar w:fldCharType="separate"/>
    </w:r>
    <w:r>
      <w:rPr/>
    </w:r>
    <w:r>
      <w:rPr/>
    </w:r>
    <w:r>
      <w:rPr/>
      <w:fldChar w:fldCharType="end"/>
    </w:r>
    <w:r>
      <w:rPr>
        <w:rFonts w:cs="Arial" w:ascii="Arial" w:hAnsi="Arial"/>
        <w:sz w:val="12"/>
      </w:rPr>
      <w:t xml:space="preserve">#inal.ersion </w:t>
    </w:r>
    <w:r>
      <w:fldChar w:fldCharType="begin"/>
    </w:r>
    <w:r>
      <w:rPr/>
      <w:instrText xml:space="preserve">ADVANCE \u10</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9</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270"/>
        <w:rPr/>
      </w:pPr>
      <w:r>
        <w:rPr>
          <w:rStyle w:val="FootnoteCharacters"/>
        </w:rPr>
        <w:footnoteRef/>
      </w:r>
      <w:r>
        <w:rPr/>
        <w:tab/>
        <w:t xml:space="preserve">AB 2744 (Stats. 1992, Ch. 1337) </w:t>
      </w:r>
      <w:r>
        <w:rPr>
          <w:rFonts w:cs="WP TypographicSymbols" w:ascii="WP TypographicSymbols" w:hAnsi="WP TypographicSymbols"/>
        </w:rPr>
        <w:t>''</w:t>
      </w:r>
      <w:r>
        <w:rPr/>
        <w:t xml:space="preserve"> 1(a), 1(c), &amp; 1(d)(2); D.93-02-013 (48 CPUC 2d 107, 120-22, 126, 128.)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3"/>
      <w:numFmt w:val="decimal"/>
      <w:lvlText w:val="%2."/>
      <w:lvlJc w:val="start"/>
      <w:pPr>
        <w:tabs>
          <w:tab w:val="num" w:pos="0"/>
        </w:tabs>
        <w:ind w:start="0" w:hanging="0"/>
      </w:pPr>
      <w:rPr>
        <w:sz w:val="24"/>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1">
    <w:name w:val="Body Text I1"/>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7200" w:leader="none"/>
      </w:tabs>
      <w:ind w:hanging="0" w:start="1440" w:end="0"/>
    </w:pPr>
    <w:rPr/>
  </w:style>
  <w:style w:type="paragraph" w:styleId="BodyTextI2">
    <w:name w:val="Body Text I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7920" w:leader="none"/>
      </w:tabs>
      <w:spacing w:lineRule="auto" w:line="360"/>
      <w:ind w:hanging="0" w:start="720" w:end="0"/>
    </w:pPr>
    <w:rPr/>
  </w:style>
  <w:style w:type="paragraph" w:styleId="Level2">
    <w:name w:val="Level 2"/>
    <w:basedOn w:val="Normal"/>
    <w:qFormat/>
    <w:pPr>
      <w:numPr>
        <w:ilvl w:val="0"/>
        <w:numId w:val="1"/>
      </w:numPr>
      <w:tabs>
        <w:tab w:val="clear" w:pos="720"/>
      </w:tabs>
      <w:ind w:hanging="720" w:start="2160" w:end="0"/>
      <w:outlineLvl w:val="1"/>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2000-07-10T21:11:00Z</dcterms:created>
  <dc:creator>Tom McCarthy</dc:creator>
  <dc:description/>
  <dc:language>en-CA</dc:language>
  <cp:lastModifiedBy>John Burkholder</cp:lastModifiedBy>
  <dcterms:modified xsi:type="dcterms:W3CDTF">2000-07-10T21:11:00Z</dcterms:modified>
  <cp:revision>2</cp:revision>
  <dc:subject/>
  <dc:title/>
</cp:coreProperties>
</file>