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end"/>
        <w:rPr/>
      </w:pPr>
      <w:r>
        <w:rPr/>
        <w:t xml:space="preserve">                                   </w:t>
      </w:r>
      <w:r>
        <w:rPr/>
        <w:t xml:space="preserve">Exhibit No.   </w:t>
      </w:r>
      <w:r>
        <w:rPr>
          <w:sz w:val="32"/>
        </w:rPr>
        <w:t>8</w:t>
      </w:r>
    </w:p>
    <w:p>
      <w:pPr>
        <w:pStyle w:val="Normal"/>
        <w:tabs>
          <w:tab w:val="clear" w:pos="720"/>
          <w:tab w:val="center" w:pos="4680" w:leader="none"/>
        </w:tabs>
        <w:rPr/>
      </w:pPr>
      <w:r>
        <w:rPr/>
        <w:t xml:space="preserve">                                                                                                                       </w:t>
      </w:r>
      <w:r>
        <w:rPr/>
        <w:t>Date ________</w:t>
      </w:r>
    </w:p>
    <w:p>
      <w:pPr>
        <w:pStyle w:val="Normal"/>
        <w:tabs>
          <w:tab w:val="clear" w:pos="720"/>
          <w:tab w:val="center" w:pos="4680" w:leader="none"/>
        </w:tabs>
        <w:rPr/>
      </w:pPr>
      <w:r>
        <w:rPr/>
        <w:tab/>
        <w:tab/>
        <w:tab/>
        <w:tab/>
        <w:t xml:space="preserve">           ALJ Biren</w:t>
      </w:r>
    </w:p>
    <w:p>
      <w:pPr>
        <w:pStyle w:val="Normal"/>
        <w:tabs>
          <w:tab w:val="clear" w:pos="720"/>
          <w:tab w:val="center" w:pos="4680" w:leader="none"/>
        </w:tabs>
        <w:rPr/>
      </w:pPr>
      <w:r>
        <w:rPr/>
      </w:r>
    </w:p>
    <w:p>
      <w:pPr>
        <w:pStyle w:val="Normal"/>
        <w:tabs>
          <w:tab w:val="clear" w:pos="720"/>
          <w:tab w:val="center" w:pos="4680" w:leader="none"/>
        </w:tabs>
        <w:rPr/>
      </w:pPr>
      <w:r>
        <w:rPr/>
      </w:r>
    </w:p>
    <w:p>
      <w:pPr>
        <w:pStyle w:val="Normal"/>
        <w:tabs>
          <w:tab w:val="clear" w:pos="720"/>
          <w:tab w:val="center" w:pos="4680" w:leader="none"/>
        </w:tabs>
        <w:jc w:val="center"/>
        <w:rPr>
          <w:b w:val="false"/>
          <w:bCs/>
        </w:rPr>
      </w:pPr>
      <w:r>
        <w:rPr>
          <w:b w:val="false"/>
          <w:bCs/>
        </w:rPr>
        <w:t>Direct Prepared Testimony of John Burkholder</w:t>
      </w:r>
    </w:p>
    <w:p>
      <w:pPr>
        <w:pStyle w:val="Normal"/>
        <w:tabs>
          <w:tab w:val="clear" w:pos="720"/>
          <w:tab w:val="center" w:pos="4680" w:leader="none"/>
        </w:tabs>
        <w:jc w:val="center"/>
        <w:rPr>
          <w:b w:val="false"/>
          <w:bCs/>
        </w:rPr>
      </w:pPr>
      <w:r>
        <w:rPr>
          <w:b w:val="false"/>
          <w:bCs/>
        </w:rPr>
        <w:t>On Behalf of Western Hub Properties, LLC</w:t>
      </w:r>
    </w:p>
    <w:p>
      <w:pPr>
        <w:pStyle w:val="Normal"/>
        <w:tabs>
          <w:tab w:val="clear" w:pos="720"/>
          <w:tab w:val="center" w:pos="4680" w:leader="none"/>
        </w:tabs>
        <w:jc w:val="center"/>
        <w:rPr>
          <w:b w:val="false"/>
          <w:bCs/>
        </w:rPr>
      </w:pPr>
      <w:r>
        <w:rPr>
          <w:b w:val="false"/>
          <w:bCs/>
        </w:rPr>
        <w:t>In Support of the Comprehensive Gas OII Settlement Agreement</w:t>
      </w:r>
    </w:p>
    <w:p>
      <w:pPr>
        <w:pStyle w:val="Normal"/>
        <w:tabs>
          <w:tab w:val="clear" w:pos="720"/>
          <w:tab w:val="center" w:pos="4680" w:leader="none"/>
        </w:tabs>
        <w:jc w:val="center"/>
        <w:rPr>
          <w:b w:val="false"/>
          <w:bCs/>
        </w:rPr>
      </w:pPr>
      <w:r>
        <w:rPr>
          <w:b w:val="false"/>
          <w:bCs/>
        </w:rPr>
        <w:t>I. 99-07-003</w:t>
      </w:r>
    </w:p>
    <w:p>
      <w:pPr>
        <w:pStyle w:val="Normal"/>
        <w:tabs>
          <w:tab w:val="clear" w:pos="720"/>
          <w:tab w:val="left" w:pos="-1440" w:leader="none"/>
        </w:tabs>
        <w:spacing w:lineRule="auto" w:line="480"/>
        <w:ind w:start="720" w:end="0"/>
        <w:rPr>
          <w:b w:val="false"/>
          <w:bCs/>
        </w:rPr>
      </w:pPr>
      <w:r>
        <w:rPr>
          <w:b w:val="false"/>
          <w:bCs/>
        </w:rPr>
      </w:r>
    </w:p>
    <w:p>
      <w:pPr>
        <w:pStyle w:val="Normal"/>
        <w:tabs>
          <w:tab w:val="clear" w:pos="720"/>
          <w:tab w:val="left" w:pos="-1440" w:leader="none"/>
        </w:tabs>
        <w:spacing w:lineRule="auto" w:line="480"/>
        <w:rPr/>
      </w:pPr>
      <w:r>
        <w:rPr/>
        <w:t>WITNESS QUALIFICATIONS</w:t>
      </w:r>
      <w:r>
        <w:fldChar w:fldCharType="begin"/>
      </w:r>
      <w:r>
        <w:rPr/>
        <w:instrText xml:space="preserve"> TC "I.</w:instrText>
        <w:tab/>
        <w:instrText xml:space="preserve">WITNESS QUALIFICATIONS" \l 1 </w:instrText>
      </w:r>
      <w:r>
        <w:rPr/>
        <w:fldChar w:fldCharType="separate"/>
      </w:r>
      <w:r>
        <w:rPr/>
      </w:r>
      <w:r>
        <w:rPr/>
        <w:fldChar w:fldCharType="end"/>
      </w:r>
    </w:p>
    <w:p>
      <w:pPr>
        <w:pStyle w:val="Normal"/>
        <w:tabs>
          <w:tab w:val="clear" w:pos="720"/>
          <w:tab w:val="left" w:pos="-1440" w:leader="none"/>
        </w:tabs>
        <w:spacing w:lineRule="auto" w:line="480"/>
        <w:rPr>
          <w:b w:val="false"/>
          <w:bCs/>
        </w:rPr>
      </w:pPr>
      <w:r>
        <w:rPr>
          <w:b w:val="false"/>
          <w:bCs/>
        </w:rPr>
        <w:t>Q.1</w:t>
        <w:tab/>
        <w:t>Please state your name and business address.</w:t>
      </w:r>
    </w:p>
    <w:p>
      <w:pPr>
        <w:pStyle w:val="BodyTextIndent3"/>
        <w:rPr/>
      </w:pPr>
      <w:r>
        <w:rPr/>
        <w:t>A.1</w:t>
        <w:tab/>
        <w:t xml:space="preserve">My name is John Burkholder.  My business address is 2023 Tudor Lane, Fallbrook, California 92028.  My business telephone number is (760) 723-1831, and my fax number is (760) 723-1891. </w:t>
      </w:r>
    </w:p>
    <w:p>
      <w:pPr>
        <w:pStyle w:val="Normal"/>
        <w:tabs>
          <w:tab w:val="clear" w:pos="720"/>
          <w:tab w:val="left" w:pos="-1440" w:leader="none"/>
        </w:tabs>
        <w:spacing w:lineRule="auto" w:line="480"/>
        <w:rPr>
          <w:b w:val="false"/>
          <w:bCs/>
        </w:rPr>
      </w:pPr>
      <w:r>
        <w:rPr>
          <w:b w:val="false"/>
          <w:bCs/>
        </w:rPr>
      </w:r>
    </w:p>
    <w:p>
      <w:pPr>
        <w:pStyle w:val="Normal"/>
        <w:tabs>
          <w:tab w:val="clear" w:pos="720"/>
          <w:tab w:val="left" w:pos="-1440" w:leader="none"/>
        </w:tabs>
        <w:spacing w:lineRule="auto" w:line="480"/>
        <w:rPr>
          <w:b w:val="false"/>
          <w:bCs/>
        </w:rPr>
      </w:pPr>
      <w:r>
        <w:rPr>
          <w:b w:val="false"/>
          <w:bCs/>
        </w:rPr>
        <w:t>Q.2</w:t>
        <w:tab/>
        <w:t>What is your occupation and company name?</w:t>
      </w:r>
    </w:p>
    <w:p>
      <w:pPr>
        <w:pStyle w:val="Normal"/>
        <w:tabs>
          <w:tab w:val="clear" w:pos="720"/>
          <w:tab w:val="left" w:pos="-1440" w:leader="none"/>
        </w:tabs>
        <w:spacing w:lineRule="auto" w:line="480"/>
        <w:ind w:hanging="720" w:start="720" w:end="0"/>
        <w:rPr>
          <w:b w:val="false"/>
          <w:bCs/>
        </w:rPr>
      </w:pPr>
      <w:r>
        <w:rPr>
          <w:b w:val="false"/>
          <w:bCs/>
        </w:rPr>
        <w:t>A.2</w:t>
        <w:tab/>
        <w:t>I am a consultant in the field of energy regulation.  My company name is Burkholder Energy Transactions Analysis, or BETA Consulting (BETA).</w:t>
      </w:r>
    </w:p>
    <w:p>
      <w:pPr>
        <w:pStyle w:val="Normal"/>
        <w:tabs>
          <w:tab w:val="clear" w:pos="720"/>
          <w:tab w:val="left" w:pos="-1440" w:leader="none"/>
        </w:tabs>
        <w:spacing w:lineRule="auto" w:line="480"/>
        <w:rPr>
          <w:b w:val="false"/>
          <w:bCs/>
        </w:rPr>
      </w:pPr>
      <w:r>
        <w:rPr>
          <w:b w:val="false"/>
          <w:bCs/>
        </w:rPr>
      </w:r>
    </w:p>
    <w:p>
      <w:pPr>
        <w:pStyle w:val="Normal"/>
        <w:tabs>
          <w:tab w:val="clear" w:pos="720"/>
          <w:tab w:val="left" w:pos="-1440" w:leader="none"/>
        </w:tabs>
        <w:spacing w:lineRule="auto" w:line="480"/>
        <w:rPr>
          <w:b w:val="false"/>
          <w:bCs/>
        </w:rPr>
      </w:pPr>
      <w:r>
        <w:rPr>
          <w:b w:val="false"/>
          <w:bCs/>
        </w:rPr>
        <w:t>Q3.</w:t>
        <w:tab/>
        <w:t>Who are you representing with this testimony?</w:t>
      </w:r>
    </w:p>
    <w:p>
      <w:pPr>
        <w:pStyle w:val="Normal"/>
        <w:tabs>
          <w:tab w:val="clear" w:pos="720"/>
          <w:tab w:val="left" w:pos="-1440" w:leader="none"/>
        </w:tabs>
        <w:spacing w:lineRule="auto" w:line="480"/>
        <w:rPr>
          <w:b w:val="false"/>
          <w:bCs/>
        </w:rPr>
      </w:pPr>
      <w:r>
        <w:rPr>
          <w:b w:val="false"/>
          <w:bCs/>
        </w:rPr>
        <w:t>A3.</w:t>
        <w:tab/>
        <w:t>I am representing Western Hub Properties, LLC. (WHP)</w:t>
      </w:r>
    </w:p>
    <w:p>
      <w:pPr>
        <w:pStyle w:val="Normal"/>
        <w:tabs>
          <w:tab w:val="clear" w:pos="720"/>
          <w:tab w:val="left" w:pos="-1440" w:leader="none"/>
        </w:tabs>
        <w:spacing w:lineRule="auto" w:line="480"/>
        <w:rPr>
          <w:b w:val="false"/>
          <w:bCs/>
        </w:rPr>
      </w:pPr>
      <w:r>
        <w:rPr>
          <w:b w:val="false"/>
          <w:bCs/>
        </w:rPr>
      </w:r>
    </w:p>
    <w:p>
      <w:pPr>
        <w:pStyle w:val="Normal"/>
        <w:tabs>
          <w:tab w:val="clear" w:pos="720"/>
          <w:tab w:val="left" w:pos="-1440" w:leader="none"/>
        </w:tabs>
        <w:spacing w:lineRule="auto" w:line="480"/>
        <w:rPr>
          <w:b w:val="false"/>
          <w:bCs/>
        </w:rPr>
      </w:pPr>
      <w:r>
        <w:rPr>
          <w:b w:val="false"/>
          <w:bCs/>
        </w:rPr>
        <w:t>Q4.</w:t>
        <w:tab/>
        <w:t>What is your professional background?</w:t>
      </w:r>
    </w:p>
    <w:p>
      <w:pPr>
        <w:pStyle w:val="Normal"/>
        <w:tabs>
          <w:tab w:val="clear" w:pos="720"/>
          <w:tab w:val="left" w:pos="-1440" w:leader="none"/>
        </w:tabs>
        <w:spacing w:lineRule="auto" w:line="480"/>
        <w:ind w:hanging="720" w:start="720" w:end="0"/>
        <w:rPr>
          <w:b w:val="false"/>
          <w:bCs/>
        </w:rPr>
      </w:pPr>
      <w:r>
        <w:rPr>
          <w:b w:val="false"/>
          <w:bCs/>
        </w:rPr>
        <w:t>A4.</w:t>
        <w:tab/>
        <w:t>In 1973, I received a Bachelor of Science degree in Systems Engineering from the United States Naval Academy.  After serving as a Naval Officer and Carrier Pilot for seven years, I resigned from the Navy to pursue a civilian career.  In 1988, I received a Master of Science degree in Systems Management from the University of Southern California.</w:t>
      </w:r>
    </w:p>
    <w:p>
      <w:pPr>
        <w:pStyle w:val="Normal"/>
        <w:spacing w:lineRule="auto" w:line="480"/>
        <w:rPr>
          <w:b w:val="false"/>
          <w:bCs/>
        </w:rPr>
      </w:pPr>
      <w:r>
        <w:rPr>
          <w:b w:val="false"/>
          <w:bCs/>
        </w:rPr>
      </w:r>
    </w:p>
    <w:p>
      <w:pPr>
        <w:pStyle w:val="Normal"/>
        <w:spacing w:lineRule="auto" w:line="480"/>
        <w:ind w:start="720" w:end="0"/>
        <w:rPr/>
      </w:pPr>
      <w:r>
        <w:rPr>
          <w:b w:val="false"/>
          <w:bCs/>
        </w:rPr>
        <w:t>I was employed by San Diego Gas &amp; Electric Company in 1981 as an engineer in the Gas Planning Department and held various positions of increasing responsibility in the areas of fossil fuel procurement, natural gas supplies and prices, and regulatory issues.  Prior to my departure in 1993 I was in the Fuels Department at SDG&amp;E, representing the company in nearly every CPUC gas proceeding.  My responsibilities at SDG&amp;E in the Fuels Department included the gas cost allocation from SoCalGas, setting the SDG&amp;E cost of gas, contract negotiations, and storage management issues.  In 1993 I left SDG&amp;E to join a consulting company.  In 1995 I formed BETA.  I have continued to participate in CPUC proceedings, representing clients such as Long Beach in the 1993, 1996, and 1999 SoCalGas BCAPs and the SoCalGas Global Settlement. I have also sponsored testimony in PG&amp;E BCAP proceedings, the SoCalGas peaking proceeding, and the SoCalGas DGN and PBR proceedings for various clients.  In the recent 1999 SoCalGas BCAP proceeding, I presented extensive testimony on behalf of Western Hub Properties</w:t>
      </w:r>
      <w:r>
        <w:rPr/>
        <w:t>.</w:t>
      </w:r>
    </w:p>
    <w:p>
      <w:pPr>
        <w:pStyle w:val="Normal"/>
        <w:spacing w:lineRule="auto" w:line="480"/>
        <w:ind w:start="720" w:end="0"/>
        <w:rPr>
          <w:b w:val="false"/>
          <w:bCs/>
        </w:rPr>
      </w:pPr>
      <w:r>
        <w:rPr>
          <w:b w:val="false"/>
          <w:bCs/>
        </w:rPr>
      </w:r>
    </w:p>
    <w:p>
      <w:pPr>
        <w:pStyle w:val="Heading1"/>
        <w:keepNext w:val="false"/>
        <w:ind w:hanging="0" w:start="0"/>
        <w:rPr/>
      </w:pPr>
      <w:r>
        <w:rPr/>
        <w:t>PURPOSE OF TESTIMONY</w:t>
      </w:r>
    </w:p>
    <w:p>
      <w:pPr>
        <w:pStyle w:val="BodyText"/>
        <w:spacing w:lineRule="auto" w:line="480"/>
        <w:rPr>
          <w:bCs/>
        </w:rPr>
      </w:pPr>
      <w:r>
        <w:rPr>
          <w:bCs/>
        </w:rPr>
        <w:t>Q.5</w:t>
        <w:tab/>
        <w:t>What is the purpose of this testimony?</w:t>
      </w:r>
    </w:p>
    <w:p>
      <w:pPr>
        <w:pStyle w:val="BodyTextIndent3"/>
        <w:rPr/>
      </w:pPr>
      <w:r>
        <w:rPr/>
        <w:t>A.5</w:t>
        <w:tab/>
        <w:t>The general purpose of my testimony is to support the Comprehensive Settlement filed on April 17, 2000.  In particular, I will be discussing the storage related aspects of the settlement.</w:t>
      </w:r>
    </w:p>
    <w:p>
      <w:pPr>
        <w:pStyle w:val="Normal"/>
        <w:tabs>
          <w:tab w:val="clear" w:pos="720"/>
          <w:tab w:val="left" w:pos="-1440" w:leader="none"/>
        </w:tabs>
        <w:spacing w:lineRule="auto" w:line="480"/>
        <w:rPr>
          <w:b w:val="false"/>
          <w:bCs/>
        </w:rPr>
      </w:pPr>
      <w:r>
        <w:rPr>
          <w:b w:val="false"/>
          <w:bCs/>
        </w:rPr>
      </w:r>
    </w:p>
    <w:p>
      <w:pPr>
        <w:pStyle w:val="Normal"/>
        <w:tabs>
          <w:tab w:val="clear" w:pos="720"/>
          <w:tab w:val="left" w:pos="-1440" w:leader="none"/>
        </w:tabs>
        <w:spacing w:lineRule="auto" w:line="480"/>
        <w:rPr>
          <w:b w:val="false"/>
          <w:bCs/>
        </w:rPr>
      </w:pPr>
      <w:r>
        <w:rPr>
          <w:b w:val="false"/>
          <w:bCs/>
        </w:rPr>
        <w:t>Q.6</w:t>
        <w:tab/>
        <w:t>Who is WHP?</w:t>
      </w:r>
    </w:p>
    <w:p>
      <w:pPr>
        <w:pStyle w:val="Normal"/>
        <w:tabs>
          <w:tab w:val="clear" w:pos="720"/>
          <w:tab w:val="left" w:pos="-1440" w:leader="none"/>
        </w:tabs>
        <w:spacing w:lineRule="auto" w:line="480"/>
        <w:ind w:hanging="720" w:start="720" w:end="0"/>
        <w:rPr>
          <w:b w:val="false"/>
          <w:bCs/>
        </w:rPr>
      </w:pPr>
      <w:r>
        <w:rPr>
          <w:b w:val="false"/>
          <w:bCs/>
        </w:rPr>
        <w:t>A.6</w:t>
        <w:tab/>
        <w:t>WHP entered the California storage markets with the filing by its wholly-owned subsidiary, Lodi Gas Storage, LLC (LGS), for a CPCN on November 5, 1998 (A. 98-11-012).  Through LGS, WHP plans to be a third party provider of storage services in California, embarking along a similar path to Wild Goose Storage, Inc.  LGS intends to provide flexible, multiple turn service with the capability of injecting and withdrawing gas several times a day, offering service to all market segments.  LGS will eventually provide about 12 Bcf of inventory capability with a firm withdrawal capability of 500 MMcfd and injection of 400 MMcfd at its Lodi facility.  WHP is also exploring storage sites in Southern California.</w:t>
      </w:r>
    </w:p>
    <w:p>
      <w:pPr>
        <w:pStyle w:val="Normal"/>
        <w:tabs>
          <w:tab w:val="clear" w:pos="720"/>
          <w:tab w:val="left" w:pos="-1440" w:leader="none"/>
        </w:tabs>
        <w:spacing w:lineRule="auto" w:line="480"/>
        <w:rPr>
          <w:b w:val="false"/>
          <w:bCs/>
        </w:rPr>
      </w:pPr>
      <w:r>
        <w:rPr>
          <w:b w:val="false"/>
          <w:bCs/>
        </w:rPr>
      </w:r>
    </w:p>
    <w:p>
      <w:pPr>
        <w:pStyle w:val="Normal"/>
        <w:tabs>
          <w:tab w:val="clear" w:pos="720"/>
          <w:tab w:val="left" w:pos="-1440" w:leader="none"/>
        </w:tabs>
        <w:spacing w:lineRule="auto" w:line="480"/>
        <w:ind w:hanging="720" w:start="720" w:end="0"/>
        <w:rPr>
          <w:b w:val="false"/>
          <w:bCs/>
        </w:rPr>
      </w:pPr>
      <w:r>
        <w:rPr>
          <w:b w:val="false"/>
          <w:bCs/>
        </w:rPr>
        <w:t>Q.7</w:t>
        <w:tab/>
        <w:t>What is your overall assessment of the Comprehensive Settlement’s handling of storage issues and how it relates to Commission policy?</w:t>
        <w:tab/>
      </w:r>
    </w:p>
    <w:p>
      <w:pPr>
        <w:pStyle w:val="Normal"/>
        <w:tabs>
          <w:tab w:val="clear" w:pos="720"/>
          <w:tab w:val="left" w:pos="-1440" w:leader="none"/>
        </w:tabs>
        <w:spacing w:lineRule="auto" w:line="480"/>
        <w:ind w:hanging="720" w:start="720" w:end="0"/>
        <w:rPr>
          <w:b w:val="false"/>
          <w:bCs/>
        </w:rPr>
      </w:pPr>
      <w:r>
        <w:rPr>
          <w:b w:val="false"/>
          <w:bCs/>
        </w:rPr>
        <w:t>A.7</w:t>
        <w:tab/>
        <w:t xml:space="preserve">The Comprehensive Settlement advances the CPUC policy that was introduced over seven years ago in D. 93-02-013, the “Storage Decision”.  As stated above, WHP expects to compete to provide storage services for customers located in both the PG&amp;E and SoCalGas service territories.  However, WHP's ability to provide storage alternatives will depend on implementation of the Commission's "let the market decide" policy, which requires a level playing field for utility and non-utility service providers.  WHP customers located in SoCalGas' service territory will have to use SoCalGas' transportation services to access their storage gas.  They will also continue to have the option of using SoCalGas' own storage services.  </w:t>
      </w:r>
    </w:p>
    <w:p>
      <w:pPr>
        <w:pStyle w:val="Normal"/>
        <w:tabs>
          <w:tab w:val="clear" w:pos="720"/>
          <w:tab w:val="left" w:pos="-1440" w:leader="none"/>
        </w:tabs>
        <w:spacing w:lineRule="auto" w:line="480"/>
        <w:ind w:start="720" w:end="0"/>
        <w:rPr>
          <w:b w:val="false"/>
          <w:bCs/>
        </w:rPr>
      </w:pPr>
      <w:r>
        <w:rPr>
          <w:b w:val="false"/>
          <w:bCs/>
        </w:rPr>
      </w:r>
    </w:p>
    <w:p>
      <w:pPr>
        <w:pStyle w:val="Normal"/>
        <w:tabs>
          <w:tab w:val="clear" w:pos="720"/>
          <w:tab w:val="left" w:pos="-1440" w:leader="none"/>
        </w:tabs>
        <w:spacing w:lineRule="auto" w:line="480"/>
        <w:ind w:start="720" w:end="0"/>
        <w:rPr>
          <w:b w:val="false"/>
          <w:bCs/>
        </w:rPr>
      </w:pPr>
      <w:r>
        <w:rPr>
          <w:b w:val="false"/>
          <w:bCs/>
        </w:rPr>
        <w:t>It is important to recognize that third party storage providers are not going to put the IOUs out of the storage business in the foreseeable future.  Wherever it comes into a new market WHP has a concern over any existing or potential market power and justifiably seeks a level playing field in that regard.  WHP recognizes the California market as a business opportunity and is willing to compete for it.  This Comprehensive Settlement goes a long way towards leveling the playing field and allowing third party storage providers at least the market structure to compete against the IOUs.</w:t>
      </w:r>
    </w:p>
    <w:p>
      <w:pPr>
        <w:pStyle w:val="Heading2"/>
        <w:rPr>
          <w:b w:val="false"/>
          <w:bCs/>
        </w:rPr>
      </w:pPr>
      <w:r>
        <w:rPr>
          <w:b w:val="false"/>
          <w:bCs/>
        </w:rPr>
      </w:r>
    </w:p>
    <w:p>
      <w:pPr>
        <w:pStyle w:val="Heading2"/>
        <w:rPr/>
      </w:pPr>
      <w:r>
        <w:rPr/>
        <w:t>CURRENT STORAGE SITUATION</w:t>
      </w:r>
    </w:p>
    <w:p>
      <w:pPr>
        <w:pStyle w:val="Normal"/>
        <w:tabs>
          <w:tab w:val="clear" w:pos="720"/>
          <w:tab w:val="left" w:pos="-1440" w:leader="none"/>
        </w:tabs>
        <w:spacing w:lineRule="auto" w:line="480"/>
        <w:ind w:hanging="720" w:start="720" w:end="0"/>
        <w:rPr>
          <w:b w:val="false"/>
          <w:bCs/>
        </w:rPr>
      </w:pPr>
      <w:r>
        <w:rPr>
          <w:b w:val="false"/>
          <w:bCs/>
        </w:rPr>
        <w:t>Q.8</w:t>
        <w:tab/>
        <w:t>Please discuss the current regulatory situation with regard to storage services and rates on the SoCalGas system.</w:t>
      </w:r>
    </w:p>
    <w:p>
      <w:pPr>
        <w:pStyle w:val="Normal"/>
        <w:tabs>
          <w:tab w:val="clear" w:pos="720"/>
          <w:tab w:val="left" w:pos="-1440" w:leader="none"/>
        </w:tabs>
        <w:spacing w:lineRule="auto" w:line="480"/>
        <w:ind w:hanging="720" w:start="720" w:end="0"/>
        <w:rPr>
          <w:b w:val="false"/>
          <w:bCs/>
        </w:rPr>
      </w:pPr>
      <w:r>
        <w:rPr>
          <w:b w:val="false"/>
          <w:bCs/>
        </w:rPr>
        <w:t>A.8</w:t>
        <w:tab/>
        <w:t xml:space="preserve">WHP believes there currently is no effective competition for storage services in SoCalGas' service territory.  Currently SoCalGas is the only provider of storage services located in its service territory.  Core Aggregation Transportation marketers (CTAs) are required to accept a pro rata share of core allocated storage, which can only be SoCalGas' own storage.  SoCalGas' core procurement group has no option to procure storage from alternate providers, even if this would provide customer benefits.   Further, SoCalGas has been able to recover 100 percent of all uncollected noncore storage costs with transportation rates (through the NSBA mechanism).  WHP believes these existing procedures have hindered competition and have raised a significant barrier to entry by alternate providers of storage services.          </w:t>
      </w:r>
    </w:p>
    <w:p>
      <w:pPr>
        <w:pStyle w:val="Normal"/>
        <w:tabs>
          <w:tab w:val="clear" w:pos="720"/>
          <w:tab w:val="left" w:pos="-1440" w:leader="none"/>
        </w:tabs>
        <w:spacing w:lineRule="auto" w:line="480"/>
        <w:ind w:start="720" w:end="0"/>
        <w:rPr>
          <w:b w:val="false"/>
          <w:bCs/>
        </w:rPr>
      </w:pPr>
      <w:r>
        <w:rPr>
          <w:b w:val="false"/>
          <w:bCs/>
        </w:rPr>
      </w:r>
    </w:p>
    <w:p>
      <w:pPr>
        <w:pStyle w:val="Normal"/>
        <w:tabs>
          <w:tab w:val="clear" w:pos="720"/>
          <w:tab w:val="left" w:pos="-1440" w:leader="none"/>
        </w:tabs>
        <w:spacing w:lineRule="auto" w:line="480"/>
        <w:ind w:hanging="720" w:start="720" w:end="0"/>
        <w:rPr>
          <w:b w:val="false"/>
          <w:bCs/>
        </w:rPr>
      </w:pPr>
      <w:r>
        <w:rPr>
          <w:b w:val="false"/>
          <w:bCs/>
        </w:rPr>
        <w:t>Q.9</w:t>
        <w:tab/>
        <w:t>What specific current regulatory policies contributed to the lack of effective storage competition described in your response to the previous question?</w:t>
      </w:r>
    </w:p>
    <w:p>
      <w:pPr>
        <w:pStyle w:val="Normal"/>
        <w:tabs>
          <w:tab w:val="clear" w:pos="720"/>
          <w:tab w:val="left" w:pos="-1440" w:leader="none"/>
        </w:tabs>
        <w:spacing w:lineRule="auto" w:line="480"/>
        <w:ind w:hanging="720" w:start="720" w:end="0"/>
        <w:rPr>
          <w:b w:val="false"/>
          <w:bCs/>
        </w:rPr>
      </w:pPr>
      <w:r>
        <w:rPr>
          <w:b w:val="false"/>
          <w:bCs/>
        </w:rPr>
        <w:t>A.9</w:t>
        <w:tab/>
        <w:t>Essentially, SoCalGas has not been not at risk for storage costs.  WHP believes SoCalGas should have a fair chance to recover its investment in storage facilities, just like other storage providers should.  To enhance competition and promote a level playing field in storage services, SoCalGas should be in a "similarly situated" posture to that of other potential noncore storage service providers.  In a market where all other potential providers of storage are fully at risk for their full embedded costs (which is the situation with PG&amp;E and independent providers), protecting SoCalGas from the risks of the market creates a significant market imperfection and a barrier to effective competition.  In addition, SoCalGas’ storage assets have largely depreciated (at ratepayer risk and expense) in the current regulatory structure.  Third party storage providers such as WHP are trying to enter this market with 100% at-risk and un-depreciated capital expenses.  The Comprehensive Settlement takes a significant step towards leveling the playing field by placing SoCalGas at risk for unbundled storage revenues starting the third year of the term.</w:t>
      </w:r>
    </w:p>
    <w:p>
      <w:pPr>
        <w:pStyle w:val="Heading2"/>
        <w:rPr/>
      </w:pPr>
      <w:r>
        <w:rPr/>
        <w:t>COMMISSION PROMISING OPTIONS IN D. 99-07-015</w:t>
      </w:r>
    </w:p>
    <w:p>
      <w:pPr>
        <w:pStyle w:val="Normal"/>
        <w:tabs>
          <w:tab w:val="clear" w:pos="720"/>
          <w:tab w:val="left" w:pos="-1440" w:leader="none"/>
        </w:tabs>
        <w:spacing w:lineRule="auto" w:line="480"/>
        <w:ind w:hanging="720" w:start="720" w:end="0"/>
        <w:rPr>
          <w:b w:val="false"/>
          <w:bCs/>
        </w:rPr>
      </w:pPr>
      <w:r>
        <w:rPr>
          <w:b w:val="false"/>
          <w:bCs/>
        </w:rPr>
        <w:t>Q.10</w:t>
        <w:tab/>
        <w:t>Please comment on the promising options identified in Commission D.99-07-015 (Appendix C) and how the Comprehensive Settlement addresses them.</w:t>
      </w:r>
    </w:p>
    <w:p>
      <w:pPr>
        <w:pStyle w:val="Normal"/>
        <w:spacing w:lineRule="auto" w:line="480"/>
        <w:rPr/>
      </w:pPr>
      <w:r>
        <w:rPr>
          <w:b w:val="false"/>
          <w:bCs/>
        </w:rPr>
        <w:t>A.10</w:t>
        <w:tab/>
      </w:r>
      <w:r>
        <w:rPr/>
        <w:t>1.</w:t>
        <w:tab/>
        <w:t>Create firm, tradable storage rights</w:t>
      </w:r>
    </w:p>
    <w:p>
      <w:pPr>
        <w:pStyle w:val="BodyText"/>
        <w:spacing w:lineRule="auto" w:line="480"/>
        <w:ind w:start="720" w:end="0"/>
        <w:rPr>
          <w:bCs/>
        </w:rPr>
      </w:pPr>
      <w:r>
        <w:rPr>
          <w:bCs/>
        </w:rPr>
        <w:t>The Settlement accomplishes this “promising option” by unbundling storage costs from customers’ rates.  A very important aspect of this unbundling is that it is done on an embedded cost basis.  The current LRMC methodology has been very controversial in recent BCAPs, especially with regard to the resource plans.  Price efficiency, however, would dictate that customers should know and pay the real cost of service, which WHP believes is the embedded cost.  As competitors, WHP and others should be allowed to compete for storage services on the basis of utility rates that are based on embedded costs, free from cross-subsidies.  Under the Comprehensive Settlement, storage service customers will have the opportunity to make an informed, economic decision about storage providers.</w:t>
      </w:r>
    </w:p>
    <w:p>
      <w:pPr>
        <w:pStyle w:val="BodyText"/>
        <w:spacing w:lineRule="auto" w:line="480"/>
        <w:ind w:start="720" w:end="0"/>
        <w:rPr>
          <w:bCs/>
        </w:rPr>
      </w:pPr>
      <w:r>
        <w:rPr>
          <w:bCs/>
        </w:rPr>
      </w:r>
    </w:p>
    <w:p>
      <w:pPr>
        <w:pStyle w:val="BodyText"/>
        <w:spacing w:lineRule="auto" w:line="480"/>
        <w:ind w:start="720" w:end="0"/>
        <w:rPr>
          <w:bCs/>
        </w:rPr>
      </w:pPr>
      <w:r>
        <w:rPr>
          <w:bCs/>
        </w:rPr>
        <w:t xml:space="preserve">Table 1 attached to this testimony provides a summary comparison of the current LRMC costs attributed to storage and balancing services to that of the Comprehensive Settlement’s embedded cost structure.  The benefits to the core class alone amount to over a $33 million dollar a year reduction in storage costs when you factor in a proportional amount for the scaling, and over $5 million when you do not factor in the scaling dollars.  The noncore class sees a reduction of over $4 million a year in the balancing costs allocated to it (when the scaling dollars are factored in).  Noncore balancing customers have an even greater opportunity to save money with the other balancing options provided by the Comprehensive Settlement.    </w:t>
      </w:r>
    </w:p>
    <w:p>
      <w:pPr>
        <w:pStyle w:val="BodyText"/>
        <w:spacing w:lineRule="auto" w:line="480"/>
        <w:ind w:start="720" w:end="0"/>
        <w:rPr>
          <w:bCs/>
        </w:rPr>
      </w:pPr>
      <w:r>
        <w:rPr>
          <w:bCs/>
        </w:rPr>
      </w:r>
    </w:p>
    <w:p>
      <w:pPr>
        <w:pStyle w:val="BodyText"/>
        <w:spacing w:lineRule="auto" w:line="480"/>
        <w:ind w:start="720" w:end="0"/>
        <w:rPr>
          <w:bCs/>
        </w:rPr>
      </w:pPr>
      <w:r>
        <w:rPr>
          <w:bCs/>
        </w:rPr>
        <w:t>Another bonus in shifting to embedded costs for storage (and transmission) is that besides the immediate benefits to customers, this transition can be instituted without any real implementation costs.  A few changes to the cost allocation model, essentially already done, and rates are calculated, ready for a tariff filing.  These cost savings could be applied to other implementation costs in the settlement.</w:t>
      </w:r>
    </w:p>
    <w:p>
      <w:pPr>
        <w:pStyle w:val="Normal"/>
        <w:spacing w:lineRule="auto" w:line="480"/>
        <w:rPr>
          <w:b w:val="false"/>
          <w:bCs/>
        </w:rPr>
      </w:pPr>
      <w:r>
        <w:rPr>
          <w:b w:val="false"/>
          <w:bCs/>
        </w:rPr>
      </w:r>
    </w:p>
    <w:p>
      <w:pPr>
        <w:pStyle w:val="Normal"/>
        <w:spacing w:lineRule="auto" w:line="480"/>
        <w:ind w:firstLine="720" w:end="0"/>
        <w:rPr/>
      </w:pPr>
      <w:r>
        <w:rPr/>
        <w:t>2.</w:t>
        <w:tab/>
        <w:t>Establish a secondary market for intrastate storage capacity</w:t>
      </w:r>
    </w:p>
    <w:p>
      <w:pPr>
        <w:pStyle w:val="BodyTextIndent"/>
        <w:spacing w:lineRule="auto" w:line="480"/>
        <w:rPr/>
      </w:pPr>
      <w:r>
        <w:rPr/>
        <w:t>The Settlement unbundling condition contemplates the development of a robust secondary market for storage services.  This is in the best interest of all storage service</w:t>
      </w:r>
      <w:r>
        <w:rPr>
          <w:b/>
          <w:bCs w:val="false"/>
        </w:rPr>
        <w:t xml:space="preserve"> </w:t>
      </w:r>
      <w:r>
        <w:rPr/>
        <w:t>customers, including core customers, as well as marketers and other storage providers.</w:t>
      </w:r>
    </w:p>
    <w:p>
      <w:pPr>
        <w:pStyle w:val="BodyTextIndent"/>
        <w:spacing w:lineRule="auto" w:line="480"/>
        <w:rPr/>
      </w:pPr>
      <w:r>
        <w:rPr/>
      </w:r>
    </w:p>
    <w:p>
      <w:pPr>
        <w:pStyle w:val="Normal"/>
        <w:spacing w:lineRule="auto" w:line="480"/>
        <w:ind w:firstLine="720" w:end="0"/>
        <w:rPr/>
      </w:pPr>
      <w:r>
        <w:rPr/>
        <w:t>3.</w:t>
        <w:tab/>
        <w:t>Place the utility at risk for unused resources</w:t>
      </w:r>
    </w:p>
    <w:p>
      <w:pPr>
        <w:pStyle w:val="BodyTextIndent"/>
        <w:spacing w:lineRule="auto" w:line="480"/>
        <w:rPr/>
      </w:pPr>
      <w:r>
        <w:rPr/>
        <w:t>The Settlement places SoCalGas 100% at risk for unreserved storage resources in the third year.  This truly levels the playing field on this issue for third party storage providers, as their costs are also 100% at risk, i.e., they have no means of collecting their embedded costs through balancing accounts or captive customers.  To date, SoCalGas has had 100% of its storage costs recovered through rates.  Fairer competition will lead to more accurate pricing and more efficient use of California’s storage resources, to the benefit of all gas consumers.</w:t>
      </w:r>
    </w:p>
    <w:p>
      <w:pPr>
        <w:pStyle w:val="Normal"/>
        <w:spacing w:lineRule="auto" w:line="480"/>
        <w:ind w:firstLine="720" w:end="0"/>
        <w:rPr/>
      </w:pPr>
      <w:r>
        <w:rPr/>
      </w:r>
    </w:p>
    <w:p>
      <w:pPr>
        <w:pStyle w:val="Normal"/>
        <w:spacing w:lineRule="auto" w:line="480"/>
        <w:ind w:firstLine="720" w:end="0"/>
        <w:rPr/>
      </w:pPr>
      <w:r>
        <w:rPr/>
        <w:t>4.</w:t>
        <w:tab/>
        <w:t>Grant SoCalGas unlimited pricing flexibility</w:t>
      </w:r>
    </w:p>
    <w:p>
      <w:pPr>
        <w:pStyle w:val="BodyTextIndent"/>
        <w:spacing w:lineRule="auto" w:line="480"/>
        <w:rPr/>
      </w:pPr>
      <w:r>
        <w:rPr/>
        <w:t xml:space="preserve">This issue was identified as “Not Promising at this time” in Appendix C of D. 99-07-015.  The Commission concluded that SoCalGas should not have unlimited pricing flexibility.  The Settlement does provide SoCalGas appropriate pricing flexibility, however, in recognition of the cost recovery risk it will be facing.  Utility pricing flexibility enhances the possibility of a more robust secondary market for storage services, which would benefit all customers.   </w:t>
      </w:r>
    </w:p>
    <w:p>
      <w:pPr>
        <w:pStyle w:val="BodyTextIndent"/>
        <w:spacing w:lineRule="auto" w:line="480"/>
        <w:rPr/>
      </w:pPr>
      <w:r>
        <w:rPr/>
      </w:r>
    </w:p>
    <w:p>
      <w:pPr>
        <w:pStyle w:val="Normal"/>
        <w:spacing w:lineRule="auto" w:line="480"/>
        <w:ind w:firstLine="720" w:end="0"/>
        <w:rPr/>
      </w:pPr>
      <w:r>
        <w:rPr/>
        <w:t>5.</w:t>
        <w:tab/>
        <w:t>Utility divestiture of storage assets</w:t>
      </w:r>
    </w:p>
    <w:p>
      <w:pPr>
        <w:pStyle w:val="BodyText"/>
        <w:spacing w:lineRule="auto" w:line="480"/>
        <w:ind w:start="720" w:end="0"/>
        <w:rPr>
          <w:bCs/>
        </w:rPr>
      </w:pPr>
      <w:r>
        <w:rPr>
          <w:bCs/>
        </w:rPr>
        <w:t>This issue was also identified as “not promising”.  The Settlement does not propose this condition.  However, if SoCalGas voluntarily does divest storage assets, the Settlement will allow increased pricing flexibility for its storage services.</w:t>
      </w:r>
    </w:p>
    <w:p>
      <w:pPr>
        <w:pStyle w:val="BodyText"/>
        <w:spacing w:lineRule="auto" w:line="480"/>
        <w:rPr>
          <w:bCs/>
        </w:rPr>
      </w:pPr>
      <w:r>
        <w:rPr>
          <w:bCs/>
        </w:rPr>
      </w:r>
    </w:p>
    <w:p>
      <w:pPr>
        <w:pStyle w:val="BodyText"/>
        <w:spacing w:lineRule="auto" w:line="480"/>
        <w:rPr>
          <w:b/>
        </w:rPr>
      </w:pPr>
      <w:r>
        <w:rPr>
          <w:b/>
        </w:rPr>
        <w:t>CONCLUSION</w:t>
      </w:r>
    </w:p>
    <w:p>
      <w:pPr>
        <w:pStyle w:val="Normal"/>
        <w:tabs>
          <w:tab w:val="clear" w:pos="720"/>
          <w:tab w:val="left" w:pos="-1440" w:leader="none"/>
        </w:tabs>
        <w:spacing w:lineRule="auto" w:line="480"/>
        <w:ind w:hanging="720" w:start="720" w:end="0"/>
        <w:rPr>
          <w:b w:val="false"/>
          <w:bCs/>
        </w:rPr>
      </w:pPr>
      <w:r>
        <w:rPr>
          <w:b w:val="false"/>
          <w:bCs/>
        </w:rPr>
        <w:t>Q.11</w:t>
        <w:tab/>
        <w:t>Do you have any other comments regarding the Comprehensive Settlement and why the Commission should approve it?</w:t>
      </w:r>
    </w:p>
    <w:p>
      <w:pPr>
        <w:pStyle w:val="Normal"/>
        <w:tabs>
          <w:tab w:val="clear" w:pos="720"/>
          <w:tab w:val="left" w:pos="-1440" w:leader="none"/>
        </w:tabs>
        <w:spacing w:lineRule="auto" w:line="480"/>
        <w:ind w:hanging="720" w:start="720" w:end="0"/>
        <w:rPr>
          <w:b w:val="false"/>
          <w:bCs/>
        </w:rPr>
      </w:pPr>
      <w:r>
        <w:rPr>
          <w:b w:val="false"/>
          <w:bCs/>
        </w:rPr>
        <w:t>A.11</w:t>
        <w:tab/>
        <w:t>Yes, the Comprehensive Settlement complies with this very important directive in Commission D.99-07-015:</w:t>
      </w:r>
    </w:p>
    <w:p>
      <w:pPr>
        <w:pStyle w:val="BodyTextIndent2"/>
        <w:rPr/>
      </w:pPr>
      <w:r>
        <w:rPr/>
        <w:t>It is critical that any agreement reflect an appropriate balance of the interests of all stakeholders affected by the outcome in this proceeding.  For this reason, no interested parties should be excluded from the negotiating process.  All interested parties should have a place at the table directly, or through a caucus representative.   (page 135)</w:t>
      </w:r>
    </w:p>
    <w:p>
      <w:pPr>
        <w:pStyle w:val="BodyTextIndent2"/>
        <w:rPr/>
      </w:pPr>
      <w:r>
        <w:rPr/>
      </w:r>
    </w:p>
    <w:p>
      <w:pPr>
        <w:pStyle w:val="BodyTextIndent"/>
        <w:tabs>
          <w:tab w:val="clear" w:pos="720"/>
          <w:tab w:val="left" w:pos="-1440" w:leader="none"/>
        </w:tabs>
        <w:spacing w:lineRule="auto" w:line="480"/>
        <w:rPr/>
      </w:pPr>
      <w:r>
        <w:rPr/>
        <w:t>WHP did have the opportunity to “be at the table” in the Comprehensive Settlement negotiations, and used that forum for its input and resolution of these very important issues regarding storage services in California.  Every other stakeholder also had that same opportunity in the course of this Comprehensive Settlement.  WHP strongly recommends the Commission adopt the Comprehensive Settlement.</w:t>
      </w:r>
    </w:p>
    <w:sectPr>
      <w:footerReference w:type="default" r:id="rId2"/>
      <w:type w:val="nextPage"/>
      <w:pgSz w:w="12240" w:h="15840"/>
      <w:pgMar w:left="1800" w:right="1800" w:gutter="0" w:header="0" w:top="1440" w:footer="720" w:bottom="1440"/>
      <w:lnNumType w:countBy="1" w:restart="newPage" w:distance="283"/>
      <w:pgNumType w:fmt="decimal"/>
      <w:formProt w:val="false"/>
      <w:textDirection w:val="lrTb"/>
      <w:docGrid w:type="default" w:linePitch="1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lish111 Vivace BT">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fldChar w:fldCharType="begin"/>
    </w:r>
    <w:r>
      <w:rPr/>
      <w:instrText xml:space="preserve">ADVANCE \d10</w:instrText>
    </w:r>
    <w:r>
      <w:rPr/>
    </w:r>
    <w:r>
      <w:rPr/>
      <w:fldChar w:fldCharType="separate"/>
    </w:r>
    <w:r>
      <w:rPr/>
    </w:r>
    <w:r/>
    <w:r>
      <w:rPr/>
      <w:fldChar w:fldCharType="end"/>
    </w: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5260"/>
              <wp:effectExtent l="0" t="0" r="0" b="0"/>
              <wp:wrapTopAndBottom/>
              <wp:docPr id="1" name="Frame1"/>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9</w:t>
                          </w:r>
                          <w:r>
                            <w:rPr/>
                            <w:fldChar w:fldCharType="end"/>
                          </w:r>
                        </w:p>
                      </w:txbxContent>
                    </wps:txbx>
                    <wps:bodyPr anchor="t" lIns="0" tIns="0" rIns="0" bIns="0">
                      <a:no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9</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style>
  <w:style w:type="paragraph" w:styleId="Heading2">
    <w:name w:val="heading 2"/>
    <w:basedOn w:val="Normal"/>
    <w:next w:val="Normal"/>
    <w:qFormat/>
    <w:pPr>
      <w:keepNext w:val="true"/>
      <w:numPr>
        <w:ilvl w:val="1"/>
        <w:numId w:val="1"/>
      </w:numPr>
      <w:tabs>
        <w:tab w:val="clear" w:pos="720"/>
        <w:tab w:val="left" w:pos="-1440" w:leader="none"/>
      </w:tabs>
      <w:spacing w:lineRule="auto" w:line="480"/>
      <w:ind w:hanging="720" w:start="720" w:end="0"/>
      <w:outlineLvl w:val="1"/>
    </w:pPr>
    <w:rPr/>
  </w:style>
  <w:style w:type="character" w:styleId="DefaultParagraphFont">
    <w:name w:val="Default Paragraph Font"/>
    <w:qForma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val="fals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English111 Vivace BT" w:hAnsi="English111 Vivace BT" w:cs="Arial"/>
      <w:b w:val="false"/>
      <w:sz w:val="36"/>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ind w:hanging="0" w:start="720" w:end="0"/>
    </w:pPr>
    <w:rPr>
      <w:b w:val="false"/>
      <w:bCs/>
    </w:rPr>
  </w:style>
  <w:style w:type="paragraph" w:styleId="BodyTextIndent2">
    <w:name w:val="Body Text Indent 2"/>
    <w:basedOn w:val="Normal"/>
    <w:qFormat/>
    <w:pPr>
      <w:tabs>
        <w:tab w:val="clear" w:pos="720"/>
        <w:tab w:val="left" w:pos="-1440" w:leader="none"/>
      </w:tabs>
      <w:ind w:hanging="0" w:start="1440" w:end="0"/>
    </w:pPr>
    <w:rPr>
      <w:b w:val="false"/>
      <w:bCs/>
    </w:rPr>
  </w:style>
  <w:style w:type="paragraph" w:styleId="BodyTextIndent3">
    <w:name w:val="Body Text Indent 3"/>
    <w:basedOn w:val="Normal"/>
    <w:qFormat/>
    <w:pPr>
      <w:spacing w:lineRule="auto" w:line="480"/>
      <w:ind w:hanging="720" w:start="720" w:end="0"/>
    </w:pPr>
    <w:rPr>
      <w:b w:val="false"/>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2000-04-27T14:56:00Z</dcterms:created>
  <dc:creator>John Burkholder</dc:creator>
  <dc:description/>
  <dc:language>en-CA</dc:language>
  <cp:lastModifiedBy>John Burkholder</cp:lastModifiedBy>
  <cp:lastPrinted>2000-05-05T12:30:00Z</cp:lastPrinted>
  <dcterms:modified xsi:type="dcterms:W3CDTF">2000-05-05T17:01:00Z</dcterms:modified>
  <cp:revision>24</cp:revision>
  <dc:subject/>
  <dc:title/>
</cp:coreProperties>
</file>