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hd w:fill="F2F2F2" w:val="clear"/>
        <w:tabs>
          <w:tab w:val="left" w:pos="1800" w:leader="none"/>
          <w:tab w:val="center" w:pos="7110" w:leader="none"/>
          <w:tab w:val="right" w:pos="9000" w:leader="none"/>
        </w:tabs>
        <w:spacing w:lineRule="auto" w:line="240" w:before="140" w:after="0"/>
        <w:ind w:start="0" w:end="0"/>
        <w:rPr>
          <w:b/>
          <w:spacing w:val="0"/>
          <w:sz w:val="28"/>
        </w:rPr>
      </w:pPr>
      <w:r>
        <w:rPr/>
        <w:t>Memorandum</w:t>
        <w:tab/>
      </w:r>
      <w:r>
        <w:rPr>
          <w:b/>
          <w:caps/>
          <w:spacing w:val="0"/>
          <w:sz w:val="24"/>
        </w:rPr>
        <w:t>Watson, Farley &amp; Williams</w:t>
      </w:r>
    </w:p>
    <w:p>
      <w:pPr>
        <w:pStyle w:val="MessageHeaderFirst"/>
        <w:pBdr>
          <w:bottom w:val="single" w:sz="6" w:space="1" w:color="000000"/>
        </w:pBdr>
        <w:shd w:fill="F2F2F2" w:val="clear"/>
        <w:tabs>
          <w:tab w:val="left" w:pos="1560" w:leader="none"/>
          <w:tab w:val="center" w:pos="7110" w:leader="none"/>
          <w:tab w:val="right" w:pos="9000" w:leader="none"/>
        </w:tabs>
        <w:spacing w:lineRule="auto" w:line="240"/>
        <w:ind w:hanging="1560" w:end="0"/>
        <w:rPr/>
      </w:pPr>
      <w:r>
        <w:rPr>
          <w:b/>
        </w:rPr>
        <w:tab/>
        <w:tab/>
      </w:r>
      <w:r>
        <w:rPr>
          <w:b/>
          <w:sz w:val="24"/>
        </w:rPr>
        <w:t>Singapore</w:t>
      </w:r>
    </w:p>
    <w:p>
      <w:pPr>
        <w:pStyle w:val="MessageHeader"/>
        <w:tabs>
          <w:tab w:val="clear" w:pos="1560"/>
        </w:tabs>
        <w:spacing w:lineRule="auto" w:line="240"/>
        <w:rPr>
          <w:b/>
          <w:sz w:val="24"/>
        </w:rPr>
      </w:pPr>
      <w:r>
        <w:rPr>
          <w:b/>
          <w:sz w:val="24"/>
        </w:rPr>
      </w:r>
    </w:p>
    <w:p>
      <w:pPr>
        <w:pStyle w:val="MessageHeaderFirst"/>
        <w:tabs>
          <w:tab w:val="clear" w:pos="1560"/>
        </w:tabs>
        <w:spacing w:lineRule="auto" w:line="240"/>
        <w:ind w:hanging="1498" w:start="1527" w:end="0"/>
        <w:jc w:val="start"/>
        <w:rPr/>
      </w:pPr>
      <w:r>
        <w:rPr>
          <w:rStyle w:val="MessageHeaderLabel"/>
          <w:spacing w:val="-20"/>
          <w:sz w:val="20"/>
        </w:rPr>
        <w:t>T</w:t>
      </w:r>
      <w:r>
        <w:rPr>
          <w:rStyle w:val="MessageHeaderLabel"/>
          <w:sz w:val="20"/>
        </w:rPr>
        <w:t>o:</w:t>
      </w:r>
      <w:r>
        <w:rPr/>
        <w:tab/>
      </w:r>
      <w:r>
        <w:rPr/>
        <w:fldChar w:fldCharType="begin"/>
      </w:r>
      <w:r>
        <w:rPr/>
        <w:instrText xml:space="preserve"> FILLIN "Type Receiver’s Name,  press Tab and Return or click OK"</w:instrText>
      </w:r>
      <w:r>
        <w:rPr/>
        <w:fldChar w:fldCharType="separate"/>
      </w:r>
      <w:r>
        <w:rPr/>
        <w:t>Neale Gregson</w:t>
      </w:r>
      <w:r>
        <w:rPr/>
        <w:fldChar w:fldCharType="end"/>
      </w:r>
    </w:p>
    <w:p>
      <w:pPr>
        <w:pStyle w:val="MessageHeader"/>
        <w:spacing w:lineRule="auto" w:line="240"/>
        <w:ind w:start="1555" w:end="0"/>
        <w:rPr/>
      </w:pPr>
      <w:r>
        <w:rPr/>
      </w:r>
    </w:p>
    <w:p>
      <w:pPr>
        <w:pStyle w:val="MessageHeaderFirst"/>
        <w:tabs>
          <w:tab w:val="clear" w:pos="1560"/>
        </w:tabs>
        <w:spacing w:lineRule="auto" w:line="240"/>
        <w:ind w:hanging="1498" w:start="1527" w:end="0"/>
        <w:jc w:val="start"/>
        <w:rPr/>
      </w:pPr>
      <w:r>
        <w:rPr>
          <w:rStyle w:val="MessageHeaderLabel"/>
          <w:sz w:val="20"/>
        </w:rPr>
        <w:t>From:</w:t>
      </w:r>
      <w:r>
        <w:rPr/>
        <w:tab/>
      </w:r>
      <w:r>
        <w:rPr/>
        <w:fldChar w:fldCharType="begin"/>
      </w:r>
      <w:r>
        <w:rPr/>
        <w:instrText xml:space="preserve"> FILLIN "Type Sender’s Name,  press Tab and Return or click OK"</w:instrText>
      </w:r>
      <w:r>
        <w:rPr/>
        <w:fldChar w:fldCharType="separate"/>
      </w:r>
      <w:r>
        <w:rPr/>
        <w:t>Suzanne Bainbridge</w:t>
      </w:r>
      <w:r>
        <w:rPr/>
        <w:fldChar w:fldCharType="end"/>
      </w:r>
    </w:p>
    <w:p>
      <w:pPr>
        <w:pStyle w:val="MessageHeader"/>
        <w:tabs>
          <w:tab w:val="clear" w:pos="1560"/>
        </w:tabs>
        <w:spacing w:lineRule="auto" w:line="240"/>
        <w:ind w:hanging="1500" w:start="1530" w:end="0"/>
        <w:jc w:val="start"/>
        <w:rPr/>
      </w:pPr>
      <w:r>
        <w:rPr/>
      </w:r>
    </w:p>
    <w:p>
      <w:pPr>
        <w:pStyle w:val="MessageHeader"/>
        <w:tabs>
          <w:tab w:val="clear" w:pos="1560"/>
        </w:tabs>
        <w:spacing w:lineRule="auto" w:line="240"/>
        <w:ind w:hanging="1500" w:start="1530" w:end="0"/>
        <w:jc w:val="start"/>
        <w:rPr/>
      </w:pPr>
      <w:r>
        <w:rPr>
          <w:rFonts w:cs="Arial" w:ascii="Arial" w:hAnsi="Arial"/>
          <w:b/>
          <w:sz w:val="20"/>
        </w:rPr>
        <w:t>cc:</w:t>
      </w:r>
      <w:r>
        <w:rPr/>
        <w:tab/>
      </w:r>
      <w:r>
        <w:rPr/>
        <w:fldChar w:fldCharType="begin"/>
      </w:r>
      <w:r>
        <w:rPr/>
        <w:instrText xml:space="preserve"> FILLIN "Type Name, press Tab and Return or click OK"</w:instrText>
      </w:r>
      <w:r>
        <w:rPr/>
        <w:fldChar w:fldCharType="separate"/>
      </w:r>
      <w:r>
        <w:rPr/>
        <w:t>Matthias Lee</w:t>
      </w:r>
      <w:r>
        <w:rPr/>
        <w:fldChar w:fldCharType="end"/>
      </w:r>
    </w:p>
    <w:p>
      <w:pPr>
        <w:pStyle w:val="MessageHeader"/>
        <w:tabs>
          <w:tab w:val="clear" w:pos="1560"/>
        </w:tabs>
        <w:spacing w:lineRule="auto" w:line="240"/>
        <w:ind w:hanging="1500" w:start="1530" w:end="0"/>
        <w:jc w:val="start"/>
        <w:rPr/>
      </w:pPr>
      <w:r>
        <w:rPr/>
      </w:r>
    </w:p>
    <w:p>
      <w:pPr>
        <w:pStyle w:val="MessageHeader"/>
        <w:tabs>
          <w:tab w:val="clear" w:pos="1560"/>
        </w:tabs>
        <w:spacing w:lineRule="auto" w:line="240"/>
        <w:ind w:hanging="1500" w:start="1530" w:end="0"/>
        <w:jc w:val="start"/>
        <w:rPr/>
      </w:pPr>
      <w:r>
        <w:rPr>
          <w:rStyle w:val="MessageHeaderLabel"/>
          <w:sz w:val="20"/>
        </w:rPr>
        <w:t>Date:</w:t>
      </w:r>
      <w:r>
        <w:rPr/>
        <w:tab/>
        <w:t>24 July 2000</w:t>
      </w:r>
    </w:p>
    <w:p>
      <w:pPr>
        <w:pStyle w:val="MessageHeaderLast"/>
        <w:tabs>
          <w:tab w:val="clear" w:pos="1560"/>
        </w:tabs>
        <w:spacing w:lineRule="auto" w:line="240" w:before="0" w:after="0"/>
        <w:ind w:hanging="1498" w:start="1527" w:end="0"/>
        <w:jc w:val="start"/>
        <w:rPr>
          <w:rStyle w:val="MessageHeaderLabel"/>
          <w:sz w:val="20"/>
        </w:rPr>
      </w:pPr>
      <w:r>
        <w:rPr/>
      </w:r>
    </w:p>
    <w:p>
      <w:pPr>
        <w:pStyle w:val="MessageHeaderLast"/>
        <w:tabs>
          <w:tab w:val="clear" w:pos="1560"/>
        </w:tabs>
        <w:spacing w:lineRule="auto" w:line="240" w:before="0" w:after="0"/>
        <w:ind w:hanging="1498" w:start="1527" w:end="0"/>
        <w:jc w:val="start"/>
        <w:rPr/>
      </w:pPr>
      <w:r>
        <w:rPr>
          <w:rStyle w:val="MessageHeaderLabel"/>
          <w:sz w:val="20"/>
        </w:rPr>
        <w:t>Subject:</w:t>
      </w:r>
      <w:r>
        <w:rPr/>
        <w:tab/>
      </w:r>
      <w:r>
        <w:rPr>
          <w:b/>
        </w:rPr>
        <w:fldChar w:fldCharType="begin"/>
      </w:r>
      <w:r>
        <w:rPr>
          <w:b/>
        </w:rPr>
        <w:instrText xml:space="preserve"> FILLIN "Type Subject Heading,  press Tab and Return or click OK"</w:instrText>
      </w:r>
      <w:r>
        <w:rPr>
          <w:b/>
        </w:rPr>
        <w:fldChar w:fldCharType="separate"/>
      </w:r>
      <w:r>
        <w:rPr>
          <w:b/>
        </w:rPr>
        <w:t>MEETING WITH ENRON AND PAC MARINE ON 24.7.00</w:t>
      </w:r>
      <w:r>
        <w:rPr>
          <w:b/>
        </w:rPr>
        <w:fldChar w:fldCharType="end"/>
      </w:r>
    </w:p>
    <w:p>
      <w:pPr>
        <w:pStyle w:val="Normal"/>
        <w:rPr/>
      </w:pPr>
      <w:r>
        <w:rPr/>
      </w:r>
    </w:p>
    <w:p>
      <w:pPr>
        <w:pStyle w:val="Normal"/>
        <w:rPr/>
      </w:pPr>
      <w:r>
        <w:rPr/>
        <w:t>Present:</w:t>
      </w:r>
    </w:p>
    <w:p>
      <w:pPr>
        <w:pStyle w:val="Normal"/>
        <w:rPr/>
      </w:pPr>
      <w:r>
        <w:rPr/>
      </w:r>
    </w:p>
    <w:p>
      <w:pPr>
        <w:pStyle w:val="Normal"/>
        <w:rPr/>
      </w:pPr>
      <w:r>
        <w:rPr/>
        <w:t>Suzanne Bainbridge of Watson, Farley &amp; Williams (SEB)</w:t>
      </w:r>
    </w:p>
    <w:p>
      <w:pPr>
        <w:pStyle w:val="Normal"/>
        <w:rPr/>
      </w:pPr>
      <w:r>
        <w:rPr/>
      </w:r>
    </w:p>
    <w:p>
      <w:pPr>
        <w:pStyle w:val="Normal"/>
        <w:rPr/>
      </w:pPr>
      <w:r>
        <w:rPr/>
        <w:t>Matthias Lee of ECTS (ML)</w:t>
      </w:r>
    </w:p>
    <w:p>
      <w:pPr>
        <w:pStyle w:val="Normal"/>
        <w:rPr/>
      </w:pPr>
      <w:r>
        <w:rPr/>
      </w:r>
    </w:p>
    <w:p>
      <w:pPr>
        <w:pStyle w:val="Normal"/>
        <w:rPr/>
      </w:pPr>
      <w:r>
        <w:rPr/>
        <w:t>Capt Sawant of PacMarine (CS)</w:t>
      </w:r>
    </w:p>
    <w:p>
      <w:pPr>
        <w:pStyle w:val="Normal"/>
        <w:rPr/>
      </w:pPr>
      <w:r>
        <w:rPr/>
      </w:r>
    </w:p>
    <w:p>
      <w:pPr>
        <w:pStyle w:val="Normal"/>
        <w:rPr/>
      </w:pPr>
      <w:r>
        <w:rPr/>
      </w:r>
    </w:p>
    <w:p>
      <w:pPr>
        <w:pStyle w:val="Normal"/>
        <w:rPr/>
      </w:pPr>
      <w:r>
        <w:rPr/>
        <w:t>The meeting commenced with CS giving clarification of certain points arising from PacMarine’s first report dated 7 July 2000.  SEB asked the meaning of para 3.6 of the report which states that the “vessel has been regularly loading various heat crude oil grades from Indonesia which were not suitable for crude oil washing”.</w:t>
      </w:r>
    </w:p>
    <w:p>
      <w:pPr>
        <w:pStyle w:val="Normal"/>
        <w:rPr/>
      </w:pPr>
      <w:r>
        <w:rPr/>
      </w:r>
    </w:p>
    <w:p>
      <w:pPr>
        <w:pStyle w:val="Normal"/>
        <w:rPr/>
      </w:pPr>
      <w:r>
        <w:rPr/>
        <w:t xml:space="preserve">CS explained that the Vessel’s Experience Factor gave a summary of the vessel’s recently loaded cargo.  Certain crude oils were not suitable for crude washing. E.g. Indonesian cargo from Dumai and Ardjuna.  </w:t>
      </w:r>
    </w:p>
    <w:p>
      <w:pPr>
        <w:pStyle w:val="Normal"/>
        <w:rPr/>
      </w:pPr>
      <w:r>
        <w:rPr/>
      </w:r>
    </w:p>
    <w:p>
      <w:pPr>
        <w:pStyle w:val="Normal"/>
        <w:rPr/>
      </w:pPr>
      <w:r>
        <w:rPr/>
        <w:t>CS went on to say that, pursuant to MARPOL 73, all crude tankers are required to have a crude oil washing system onboard (“COW”).  This means that after/during discharge of crude cargo, crude washing will be performed.  However, because of the inherent nature of some types of cargo (such as the Indonesian cargo identified in the Vessel’s Experience Factor), crude oil washing cannot be carried out.</w:t>
      </w:r>
    </w:p>
    <w:p>
      <w:pPr>
        <w:pStyle w:val="Normal"/>
        <w:rPr/>
      </w:pPr>
      <w:r>
        <w:rPr/>
      </w:r>
    </w:p>
    <w:p>
      <w:pPr>
        <w:pStyle w:val="Normal"/>
        <w:rPr/>
      </w:pPr>
      <w:r>
        <w:rPr/>
        <w:t>PacMarine’s initial comments in relation to crude oil washing are refined in their second report.  In the second report, CS confirms that he has sighted the vessel’s port logs.  It is clear that the vessel had in fact carried out crude oil washing regularly, even where it might not be recommended.</w:t>
      </w:r>
    </w:p>
    <w:p>
      <w:pPr>
        <w:pStyle w:val="Normal"/>
        <w:rPr/>
      </w:pPr>
      <w:r>
        <w:rPr/>
      </w:r>
    </w:p>
    <w:p>
      <w:pPr>
        <w:pStyle w:val="Normal"/>
        <w:rPr/>
      </w:pPr>
      <w:r>
        <w:rPr/>
        <w:t>SEB asked CS to explain the difference between crude oil washing and ordinary tank cleaning.  CS confirmed that ordinarily, a crude oil vessel would not require tank cleaning, except as a rotational maintenance measure, or if instructed by charterers.</w:t>
      </w:r>
    </w:p>
    <w:p>
      <w:pPr>
        <w:pStyle w:val="Normal"/>
        <w:rPr/>
      </w:pPr>
      <w:r>
        <w:rPr/>
      </w:r>
    </w:p>
    <w:p>
      <w:pPr>
        <w:pStyle w:val="Normal"/>
        <w:rPr/>
      </w:pPr>
      <w:r>
        <w:rPr/>
        <w:t xml:space="preserve">PacMarine’s second report confirms that full tank cleaning of three tanks was carried out on 19 April 2000, before a cargo of LSWR was loaded.  This is because LSWR is a sensitive cargo.  </w:t>
      </w:r>
    </w:p>
    <w:p>
      <w:pPr>
        <w:pStyle w:val="Normal"/>
        <w:rPr/>
      </w:pPr>
      <w:r>
        <w:rPr/>
        <w:t xml:space="preserve">However, ordinary tank cleaning is not unusually necessary.  It is normal to clean the tanks over a period of about one year but on a rotational basis.  This is as a maintenance measure.  Generally sea water will be used to tank clean the vessel.  It would be extremely rare to use fresh water, save where there was a very sensitive cargo to be carried.  </w:t>
      </w:r>
    </w:p>
    <w:p>
      <w:pPr>
        <w:pStyle w:val="Normal"/>
        <w:rPr/>
      </w:pPr>
      <w:r>
        <w:rPr/>
      </w:r>
    </w:p>
    <w:p>
      <w:pPr>
        <w:pStyle w:val="Normal"/>
        <w:rPr/>
      </w:pPr>
      <w:r>
        <w:rPr/>
        <w:t>CS confirmed that there is a difference between flushing and rinsing.  Flushing the tanks simply means that water is pumped in and out of the tanks.  With rinsing, the whole tank, including the vertical sides of the tank, are rinsed.  Rinsing would generally be carried out last, using fresh or sea water.</w:t>
      </w:r>
    </w:p>
    <w:p>
      <w:pPr>
        <w:pStyle w:val="Normal"/>
        <w:rPr/>
      </w:pPr>
      <w:r>
        <w:rPr/>
      </w:r>
    </w:p>
    <w:p>
      <w:pPr>
        <w:pStyle w:val="Normal"/>
        <w:rPr/>
      </w:pPr>
      <w:r>
        <w:rPr/>
        <w:t xml:space="preserve">SEB asked whether, in CS’s opinion, condensate cargoes (such as this Elang Crude) will require tank cleaning.  This led on to a debate regarding the categorization of Elang Crude oil as a condensate.  CS agreed that there </w:t>
      </w:r>
      <w:r>
        <w:rPr>
          <w:u w:val="single"/>
        </w:rPr>
        <w:t>is a difference</w:t>
      </w:r>
      <w:r>
        <w:rPr/>
        <w:t xml:space="preserve"> between condensate and crude oil, but a number of crude oils could be called condensate.  Generally, “a light crude oil” could be classed as a condensate. Density/gravity is the defining factor.  In this instance, the exporter of the cargo was keen to call it “crude” rather than condensate. </w:t>
      </w:r>
    </w:p>
    <w:p>
      <w:pPr>
        <w:pStyle w:val="Normal"/>
        <w:rPr/>
      </w:pPr>
      <w:r>
        <w:rPr/>
      </w:r>
    </w:p>
    <w:p>
      <w:pPr>
        <w:pStyle w:val="Normal"/>
        <w:rPr/>
      </w:pPr>
      <w:r>
        <w:rPr/>
        <w:t>CS thought that the cargo before the Elang Crude Oil, Cossack Crude oil, would also be called condensate.  It is not quite as light as Elang, but it is fairly light.</w:t>
      </w:r>
    </w:p>
    <w:p>
      <w:pPr>
        <w:pStyle w:val="Normal"/>
        <w:rPr/>
      </w:pPr>
      <w:r>
        <w:rPr/>
      </w:r>
    </w:p>
    <w:p>
      <w:pPr>
        <w:pStyle w:val="Normal"/>
        <w:rPr/>
      </w:pPr>
      <w:r>
        <w:rPr/>
        <w:t>In general terms, even before the loading of a light condensate oil, CS’s opinion was that it was not necessary for any special tank cleaning to be carried out.</w:t>
      </w:r>
    </w:p>
    <w:p>
      <w:pPr>
        <w:pStyle w:val="Normal"/>
        <w:rPr/>
      </w:pPr>
      <w:r>
        <w:rPr/>
      </w:r>
    </w:p>
    <w:p>
      <w:pPr>
        <w:pStyle w:val="Normal"/>
        <w:rPr/>
      </w:pPr>
      <w:r>
        <w:rPr/>
        <w:t xml:space="preserve">SEB referred to the Industry Guide Lines and asked CS to explain what this might be.  CS mentioned a guide book call Industry Guide Lines, by Dr Verney.  This is regarded as the “bible” of tank cleaning, although CS considered that if one followed all of the guide lines in the Industry Guide Line booklet, no one would ever carry a commercial cargo of oil! </w:t>
      </w:r>
    </w:p>
    <w:p>
      <w:pPr>
        <w:pStyle w:val="Normal"/>
        <w:rPr/>
      </w:pPr>
      <w:r>
        <w:rPr/>
      </w:r>
    </w:p>
    <w:p>
      <w:pPr>
        <w:pStyle w:val="Normal"/>
        <w:rPr/>
      </w:pPr>
      <w:r>
        <w:rPr/>
        <w:t>CS stated that it was more usual for owners to make suggestions as regards tank cleaning.  He noted that in many of the charters used by oil majors such as Shell, the C/P would indicate that the vessel had to be “suitable to carry nominated cargo.”  ML asked, whether in CS’s opinion, the cargo was contaminated, regardless of the sale contract specs and the correspondence on tank cleaning.  CS thought it was certainly contaminated because of the high filterable dirt levels in the cargo.</w:t>
      </w:r>
    </w:p>
    <w:p>
      <w:pPr>
        <w:pStyle w:val="Normal"/>
        <w:rPr/>
      </w:pPr>
      <w:r>
        <w:rPr/>
      </w:r>
    </w:p>
    <w:p>
      <w:pPr>
        <w:pStyle w:val="Normal"/>
        <w:rPr/>
      </w:pPr>
      <w:r>
        <w:rPr/>
        <w:t>SEB asked whether Dr Verney’s guide lines would indicate that tank cleaning should be carried out before the carriage of condensate.  CS answered this in the negative because Dr Verney’s guide line were of a very general nature.  They only assist owners where there is a change from one type of fuel to another, not where carrying the same fuel but with slightly different properties.</w:t>
      </w:r>
    </w:p>
    <w:p>
      <w:pPr>
        <w:pStyle w:val="Normal"/>
        <w:rPr/>
      </w:pPr>
      <w:r>
        <w:rPr/>
      </w:r>
    </w:p>
    <w:p>
      <w:pPr>
        <w:pStyle w:val="Normal"/>
        <w:rPr/>
      </w:pPr>
      <w:r>
        <w:rPr/>
        <w:t>ML/SEB asked CS to consider what his position would be if he were a ship operator in this scenario.  He confirmed that if, a charterer had initially indicated that tank cleaning was to be carried out, then tank cleaning would become an issue in his mind.  It would become clear to him that a high standard of tank cleaning would be required.</w:t>
      </w:r>
    </w:p>
    <w:p>
      <w:pPr>
        <w:pStyle w:val="Normal"/>
        <w:rPr/>
      </w:pPr>
      <w:r>
        <w:rPr/>
      </w:r>
    </w:p>
    <w:p>
      <w:pPr>
        <w:pStyle w:val="Normal"/>
        <w:rPr/>
      </w:pPr>
      <w:r>
        <w:rPr/>
        <w:t>SEB/ML then asked CS to consider what possible measures may have avoided the contamination problems.  For example, if fresh water flushing had been carried would it have assisted?  CS considered that rinsing, rather than flushing, would have assisted.  Documentation he has seen suggests that some flushing could have been done with the amounts of fresh water remaining onboard.  However, rinsing would be more useful, in that the sides of the tank as well as the bottom would be cleaned.</w:t>
      </w:r>
    </w:p>
    <w:p>
      <w:pPr>
        <w:pStyle w:val="Normal"/>
        <w:rPr/>
      </w:pPr>
      <w:r>
        <w:rPr/>
        <w:t xml:space="preserve">The tank inspection report was considered.  This contains a guarantee that the integrity of the cargo will be maintained.  CS confirmed that, from owners side, they would say that they are only warranting that the discharged cargo is the same cargo as that which was loaded.  We would say that this was not the case.  </w:t>
      </w:r>
    </w:p>
    <w:p>
      <w:pPr>
        <w:pStyle w:val="Normal"/>
        <w:rPr/>
      </w:pPr>
      <w:r>
        <w:rPr/>
      </w:r>
    </w:p>
    <w:p>
      <w:pPr>
        <w:pStyle w:val="Normal"/>
        <w:rPr/>
      </w:pPr>
      <w:r>
        <w:rPr/>
        <w:t>The correspondence between owners and charterers in relation to tank cleaning, ML asked CS whether he considered that, when charterers confirmed that the cargo was required for a power plant, would that put them on notice that special tank cleaning should have been carried out.  CS answered this in the negative; he considered that owners may well have concluded that power plant have it some filtering system and therefore the cargo was no more sensitive than any other condensate cargo.</w:t>
      </w:r>
    </w:p>
    <w:p>
      <w:pPr>
        <w:pStyle w:val="Normal"/>
        <w:rPr/>
      </w:pPr>
      <w:r>
        <w:rPr/>
      </w:r>
    </w:p>
    <w:p>
      <w:pPr>
        <w:pStyle w:val="Normal"/>
        <w:rPr/>
      </w:pPr>
      <w:r>
        <w:rPr/>
        <w:t>Returning to our discussion on flushing/rinsing, CS confirmed that the noon report coordinated between engineer and deck showed that on 19 June 2000, 333 mt of fresh water were remaining.  This was enough for flushing, though not in the best possible way (ie using new water for each flushing).  However, there was not enough fresh water for full rinsing.</w:t>
      </w:r>
    </w:p>
    <w:p>
      <w:pPr>
        <w:pStyle w:val="Normal"/>
        <w:rPr/>
      </w:pPr>
      <w:r>
        <w:rPr/>
      </w:r>
    </w:p>
    <w:p>
      <w:pPr>
        <w:pStyle w:val="Normal"/>
        <w:rPr/>
      </w:pPr>
      <w:r>
        <w:rPr/>
        <w:t>SEB asked CS what he regarded as the main concern cause of the contamination.  He confirmed that he regarded clinkage on the sides of the vessel’s tank as the main concern.  He considered that fresh water washing would be the only way to solve the problem (this cargo was too sensitive for sea water).  He also maintained his earlier report where he concluded that clinkage was likely to have dissolved into the condensate, as it acts with solvent properties.  SEB/ML discussed the various samples which had been taken.  The load port sample was taken by the P &amp; I Club, but ECTS may be able to retrieve the same.  There is one more load port sample in Australia, which was taken from the vessel manifold at loadport.  It was concluded that this is a crucial sample as it will determine whether the cargo became contaminated whilst onboard the vessel.</w:t>
      </w:r>
    </w:p>
    <w:p>
      <w:pPr>
        <w:pStyle w:val="Normal"/>
        <w:rPr/>
      </w:pPr>
      <w:r>
        <w:rPr/>
      </w:r>
    </w:p>
    <w:p>
      <w:pPr>
        <w:pStyle w:val="Normal"/>
        <w:rPr/>
      </w:pPr>
      <w:r>
        <w:rPr/>
        <w:t>CS also indicated that rock bottom samples have been taken.  Notwithstanding the chemical analysis of such samples, the samples might show how dirty the tanks were upon loading.</w:t>
      </w:r>
    </w:p>
    <w:p>
      <w:pPr>
        <w:pStyle w:val="Normal"/>
        <w:rPr/>
      </w:pPr>
      <w:r>
        <w:rPr/>
      </w:r>
    </w:p>
    <w:p>
      <w:pPr>
        <w:pStyle w:val="Normal"/>
        <w:rPr/>
      </w:pPr>
      <w:r>
        <w:rPr/>
        <w:t xml:space="preserve">CS confirmed that metals such as vanadium and lead may make up some of the clinkage on side of the vessel’s tanks.  </w:t>
      </w:r>
    </w:p>
    <w:p>
      <w:pPr>
        <w:pStyle w:val="Normal"/>
        <w:rPr/>
      </w:pPr>
      <w:r>
        <w:rPr/>
      </w:r>
    </w:p>
    <w:p>
      <w:pPr>
        <w:pStyle w:val="Normal"/>
        <w:rPr/>
      </w:pPr>
      <w:r>
        <w:rPr/>
        <w:t>CS went on to discuss the inert gas system of the vessel and concludes that this and the quality of the bunkers onboard is most likely not a contributory course to the contamination.</w:t>
      </w:r>
    </w:p>
    <w:p>
      <w:pPr>
        <w:pStyle w:val="Normal"/>
        <w:rPr/>
      </w:pPr>
      <w:r>
        <w:rPr/>
      </w:r>
    </w:p>
    <w:p>
      <w:pPr>
        <w:pStyle w:val="Normal"/>
        <w:rPr/>
      </w:pPr>
      <w:r>
        <w:rPr/>
        <w:t>It was agreed that SEB/ML would prepare a full bundle of documents for CS together with guide lines for the “beefing up” of his second report.  These will be forwarded shortly to all parties.</w:t>
      </w:r>
    </w:p>
    <w:sectPr>
      <w:headerReference w:type="default" r:id="rId2"/>
      <w:headerReference w:type="first" r:id="rId3"/>
      <w:footerReference w:type="default" r:id="rId4"/>
      <w:footerReference w:type="first" r:id="rId5"/>
      <w:type w:val="nextPage"/>
      <w:pgSz w:w="11906" w:h="16838"/>
      <w:pgMar w:left="1440" w:right="1440" w:gutter="0" w:header="965"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0" w:leader="none"/>
        <w:tab w:val="right" w:pos="9000" w:leader="none"/>
      </w:tabs>
      <w:ind w:end="360"/>
      <w:jc w:val="start"/>
      <w:rPr/>
    </w:pPr>
    <w:r>
      <w:rPr>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sz w:val="18"/>
      </w:rPr>
      <w:tab/>
    </w:r>
    <w:r>
      <w:rPr>
        <w:sz w:val="18"/>
      </w:rPr>
      <w:fldChar w:fldCharType="begin"/>
    </w:r>
    <w:r>
      <w:rPr>
        <w:sz w:val="18"/>
      </w:rPr>
      <w:instrText xml:space="preserve"> DOCPROPERTY "WFWProfile"</w:instrText>
    </w:r>
    <w:r>
      <w:rPr>
        <w:sz w:val="18"/>
      </w:rPr>
      <w:fldChar w:fldCharType="separate"/>
    </w:r>
    <w:r>
      <w:rPr>
        <w:sz w:val="18"/>
      </w:rPr>
      <w:t>18028440 v1</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820" w:leader="none"/>
      </w:tabs>
      <w:jc w:val="start"/>
      <w:rPr/>
    </w:pPr>
    <w:r>
      <w:rPr>
        <w:sz w:val="18"/>
      </w:rPr>
      <w:tab/>
      <w:tab/>
    </w:r>
    <w:r>
      <w:rPr>
        <w:sz w:val="18"/>
      </w:rPr>
      <w:fldChar w:fldCharType="begin"/>
    </w:r>
    <w:r>
      <w:rPr>
        <w:sz w:val="18"/>
      </w:rPr>
      <w:instrText xml:space="preserve"> DOCPROPERTY "WFWProfile"</w:instrText>
    </w:r>
    <w:r>
      <w:rPr>
        <w:sz w:val="18"/>
      </w:rPr>
      <w:fldChar w:fldCharType="separate"/>
    </w:r>
    <w:r>
      <w:rPr>
        <w:sz w:val="18"/>
      </w:rPr>
      <w:t>18028440 v1</w:t>
    </w:r>
    <w:r>
      <w:rP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0" w:hanging="0"/>
      </w:pPr>
    </w:lvl>
    <w:lvl w:ilvl="1">
      <w:start w:val="1"/>
      <w:pStyle w:val="Heading2"/>
      <w:numFmt w:val="lowerLetter"/>
      <w:lvlText w:val="(%2)"/>
      <w:lvlJc w:val="start"/>
      <w:pPr>
        <w:tabs>
          <w:tab w:val="num" w:pos="720"/>
        </w:tabs>
        <w:ind w:start="1440" w:hanging="720"/>
      </w:pPr>
    </w:lvl>
    <w:lvl w:ilvl="2">
      <w:start w:val="1"/>
      <w:pStyle w:val="Heading3"/>
      <w:numFmt w:val="lowerRoman"/>
      <w:lvlText w:val="(%3)"/>
      <w:lvlJc w:val="start"/>
      <w:pPr>
        <w:tabs>
          <w:tab w:val="num" w:pos="720"/>
        </w:tabs>
        <w:ind w:start="2160" w:hanging="720"/>
      </w:pPr>
    </w:lvl>
    <w:lvl w:ilvl="3">
      <w:start w:val="1"/>
      <w:pStyle w:val="Heading4"/>
      <w:numFmt w:val="upp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3"/>
      <w:szCs w:val="20"/>
      <w:lang w:val="en-US" w:eastAsia="zh-CN" w:bidi="hi-IN"/>
    </w:rPr>
  </w:style>
  <w:style w:type="paragraph" w:styleId="Heading1">
    <w:name w:val="heading 1"/>
    <w:basedOn w:val="Normal"/>
    <w:next w:val="BodyText"/>
    <w:qFormat/>
    <w:pPr>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outlineLvl w:val="0"/>
    </w:pPr>
    <w:rPr>
      <w:kern w:val="2"/>
      <w:sz w:val="23"/>
    </w:rPr>
  </w:style>
  <w:style w:type="paragraph" w:styleId="Heading2">
    <w:name w:val="heading 2"/>
    <w:basedOn w:val="Normal"/>
    <w:next w:val="BodyText"/>
    <w:qFormat/>
    <w:pPr>
      <w:numPr>
        <w:ilvl w:val="1"/>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outlineLvl w:val="1"/>
    </w:pPr>
    <w:rPr>
      <w:sz w:val="23"/>
    </w:rPr>
  </w:style>
  <w:style w:type="paragraph" w:styleId="Heading3">
    <w:name w:val="heading 3"/>
    <w:basedOn w:val="Normal"/>
    <w:next w:val="BodyText"/>
    <w:qFormat/>
    <w:pPr>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outlineLvl w:val="2"/>
    </w:pPr>
    <w:rPr>
      <w:sz w:val="23"/>
    </w:rPr>
  </w:style>
  <w:style w:type="paragraph" w:styleId="Heading4">
    <w:name w:val="heading 4"/>
    <w:basedOn w:val="Normal"/>
    <w:next w:val="BodyText"/>
    <w:qFormat/>
    <w:pPr>
      <w:numPr>
        <w:ilvl w:val="3"/>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3"/>
    </w:pPr>
    <w:rPr>
      <w:sz w:val="23"/>
    </w:rPr>
  </w:style>
  <w:style w:type="paragraph" w:styleId="Heading5">
    <w:name w:val="heading 5"/>
    <w:basedOn w:val="Normal"/>
    <w:next w:val="Normal"/>
    <w:qFormat/>
    <w:pPr>
      <w:keepNext w:val="true"/>
      <w:keepLines/>
      <w:numPr>
        <w:ilvl w:val="4"/>
        <w:numId w:val="1"/>
      </w:numPr>
      <w:spacing w:lineRule="atLeast" w:line="220"/>
      <w:outlineLvl w:val="4"/>
    </w:pPr>
    <w:rPr>
      <w:i/>
      <w:spacing w:val="-2"/>
      <w:kern w:val="2"/>
      <w:sz w:val="20"/>
    </w:rPr>
  </w:style>
  <w:style w:type="paragraph" w:styleId="Heading6">
    <w:name w:val="heading 6"/>
    <w:basedOn w:val="Normal"/>
    <w:next w:val="Normal"/>
    <w:qFormat/>
    <w:pPr>
      <w:keepNext w:val="true"/>
      <w:keepLines/>
      <w:numPr>
        <w:ilvl w:val="5"/>
        <w:numId w:val="1"/>
      </w:numPr>
      <w:spacing w:lineRule="atLeast" w:line="220"/>
      <w:outlineLvl w:val="5"/>
    </w:pPr>
    <w:rPr>
      <w:rFonts w:ascii="Arial" w:hAnsi="Arial" w:cs="Arial"/>
      <w:i/>
      <w:spacing w:val="-4"/>
      <w:kern w:val="2"/>
      <w:sz w:val="20"/>
    </w:rPr>
  </w:style>
  <w:style w:type="paragraph" w:styleId="Heading7">
    <w:name w:val="heading 7"/>
    <w:basedOn w:val="Normal"/>
    <w:next w:val="Normal"/>
    <w:qFormat/>
    <w:pPr>
      <w:keepNext w:val="true"/>
      <w:keepLines/>
      <w:numPr>
        <w:ilvl w:val="6"/>
        <w:numId w:val="1"/>
      </w:numPr>
      <w:spacing w:lineRule="atLeast" w:line="220"/>
      <w:outlineLvl w:val="6"/>
    </w:pPr>
    <w:rPr>
      <w:spacing w:val="-4"/>
      <w:kern w:val="2"/>
      <w:sz w:val="22"/>
    </w:rPr>
  </w:style>
  <w:style w:type="paragraph" w:styleId="Heading8">
    <w:name w:val="heading 8"/>
    <w:basedOn w:val="Normal"/>
    <w:next w:val="Normal"/>
    <w:qFormat/>
    <w:pPr>
      <w:keepNext w:val="true"/>
      <w:keepLines/>
      <w:numPr>
        <w:ilvl w:val="7"/>
        <w:numId w:val="1"/>
      </w:numPr>
      <w:spacing w:lineRule="atLeast" w:line="220"/>
      <w:outlineLvl w:val="7"/>
    </w:pPr>
    <w:rPr>
      <w:rFonts w:ascii="Arial" w:hAnsi="Arial" w:cs="Arial"/>
      <w:i/>
      <w:spacing w:val="-4"/>
      <w:kern w:val="2"/>
      <w:sz w:val="18"/>
    </w:rPr>
  </w:style>
  <w:style w:type="paragraph" w:styleId="Heading9">
    <w:name w:val="heading 9"/>
    <w:basedOn w:val="Normal"/>
    <w:next w:val="Normal"/>
    <w:qFormat/>
    <w:pPr>
      <w:keepNext w:val="true"/>
      <w:keepLines/>
      <w:numPr>
        <w:ilvl w:val="8"/>
        <w:numId w:val="1"/>
      </w:numPr>
      <w:spacing w:lineRule="atLeast" w:line="220"/>
      <w:outlineLvl w:val="8"/>
    </w:pPr>
    <w:rPr>
      <w:rFonts w:ascii="Arial" w:hAnsi="Arial" w:cs="Arial"/>
      <w:spacing w:val="-4"/>
      <w:kern w:val="2"/>
      <w:sz w:val="18"/>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ssageHeader">
    <w:name w:val="Message Header"/>
    <w:basedOn w:val="Normal"/>
    <w:qFormat/>
    <w:pPr>
      <w:keepLines/>
      <w:tabs>
        <w:tab w:val="clear" w:pos="720"/>
        <w:tab w:val="left" w:pos="1560" w:leader="none"/>
      </w:tabs>
      <w:spacing w:lineRule="atLeast" w:line="415"/>
      <w:ind w:hanging="720" w:start="1560" w:end="0"/>
    </w:pPr>
    <w:rPr/>
  </w:style>
  <w:style w:type="paragraph" w:styleId="DocumentLabel">
    <w:name w:val="Document Label"/>
    <w:next w:val="MessageHeaderFirst"/>
    <w:qFormat/>
    <w:pPr>
      <w:widowControl/>
      <w:tabs>
        <w:tab w:val="clear" w:pos="720"/>
        <w:tab w:val="left" w:pos="1800" w:leader="none"/>
      </w:tabs>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MessageHeaderFirst">
    <w:name w:val="Message Header First"/>
    <w:basedOn w:val="MessageHeader"/>
    <w:next w:val="MessageHeader"/>
    <w:qFormat/>
    <w:pPr/>
    <w:rPr/>
  </w:style>
  <w:style w:type="paragraph" w:styleId="ListBullet">
    <w:name w:val="List Bullet"/>
    <w:basedOn w:val="Normal"/>
    <w:qFormat/>
    <w:pPr>
      <w:numPr>
        <w:ilvl w:val="0"/>
        <w:numId w:val="2"/>
      </w:numPr>
      <w:spacing w:lineRule="atLeast" w:line="220" w:before="0" w:after="220"/>
      <w:ind w:hanging="360" w:start="1560" w:end="360"/>
    </w:pPr>
    <w:rPr/>
  </w:style>
  <w:style w:type="paragraph" w:styleId="listno">
    <w:name w:val="listno"/>
    <w:basedOn w:val="Normal"/>
    <w:qFormat/>
    <w:pPr>
      <w:numPr>
        <w:ilvl w:val="0"/>
        <w:numId w:val="3"/>
      </w:numPr>
      <w:spacing w:before="0" w:after="240"/>
      <w:ind w:hanging="720" w:start="720" w:end="0"/>
    </w:pPr>
    <w:rPr/>
  </w:style>
  <w:style w:type="paragraph" w:styleId="MessageHeaderLast">
    <w:name w:val="Message Header Last"/>
    <w:basedOn w:val="MessageHeader"/>
    <w:next w:val="Normal"/>
    <w:qFormat/>
    <w:pPr>
      <w:pBdr>
        <w:bottom w:val="single" w:sz="6" w:space="18" w:color="000000"/>
      </w:pBdr>
      <w:spacing w:before="0" w:after="40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HeaderLeft">
    <w:name w:val="Header Left"/>
    <w:basedOn w:val="Header"/>
    <w:qFormat/>
    <w:pPr>
      <w:suppressLineNumbers/>
      <w:tabs>
        <w:tab w:val="clear" w:pos="4153"/>
        <w:tab w:val="clear" w:pos="8306"/>
        <w:tab w:val="center" w:pos="4513" w:leader="none"/>
        <w:tab w:val="right" w:pos="9026" w:leader="none"/>
      </w:tabs>
    </w:pPr>
    <w:rPr/>
  </w:style>
  <w:style w:type="numbering" w:styleId="WW8Num1">
    <w:name w:val="WW8Num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2000-07-25T08:05:00Z</dcterms:created>
  <dc:creator>WFW</dc:creator>
  <dc:description/>
  <dc:language>en-CA</dc:language>
  <cp:lastModifiedBy>Enron</cp:lastModifiedBy>
  <cp:lastPrinted>2000-07-24T19:01:00Z</cp:lastPrinted>
  <dcterms:modified xsi:type="dcterms:W3CDTF">2000-07-25T08:05:00Z</dcterms:modified>
  <cp:revision>2</cp:revision>
  <dc:subject/>
  <dc:title>MEMO TO NRG/MATT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FWProfile">
    <vt:lpwstr>18028440 v1</vt:lpwstr>
  </property>
</Properties>
</file>