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sz w:val="24"/>
        </w:rPr>
      </w:pPr>
      <w:r>
        <w:rPr>
          <w:sz w:val="24"/>
        </w:rPr>
        <w:tab/>
      </w:r>
      <w:r>
        <w:rPr>
          <w:b/>
          <w:bCs/>
          <w:sz w:val="24"/>
          <w:u w:val="single"/>
        </w:rPr>
        <w:t>AFFIDAVIT</w:t>
      </w:r>
    </w:p>
    <w:p>
      <w:pPr>
        <w:pStyle w:val="Normal"/>
        <w:widowControl/>
        <w:jc w:val="both"/>
        <w:rPr>
          <w:sz w:val="24"/>
        </w:rPr>
      </w:pPr>
      <w:r>
        <w:rPr>
          <w:sz w:val="24"/>
        </w:rPr>
      </w:r>
    </w:p>
    <w:p>
      <w:pPr>
        <w:pStyle w:val="Normal"/>
        <w:widowControl/>
        <w:jc w:val="both"/>
        <w:rPr>
          <w:sz w:val="24"/>
        </w:rPr>
      </w:pPr>
      <w:r>
        <w:rPr>
          <w:sz w:val="24"/>
        </w:rPr>
        <w:t>STATE OF TEXAS</w:t>
        <w:tab/>
        <w:tab/>
        <w:t>§</w:t>
        <w:tab/>
        <w:t> </w:t>
      </w:r>
    </w:p>
    <w:p>
      <w:pPr>
        <w:pStyle w:val="Normal"/>
        <w:widowControl/>
        <w:ind w:firstLine="2880" w:end="0"/>
        <w:jc w:val="both"/>
        <w:rPr>
          <w:sz w:val="24"/>
        </w:rPr>
      </w:pPr>
      <w:r>
        <w:rPr>
          <w:sz w:val="24"/>
        </w:rPr>
        <w:t>§ </w:t>
      </w:r>
    </w:p>
    <w:p>
      <w:pPr>
        <w:pStyle w:val="Normal"/>
        <w:widowControl/>
        <w:jc w:val="both"/>
        <w:rPr>
          <w:sz w:val="24"/>
        </w:rPr>
      </w:pPr>
      <w:r>
        <w:rPr>
          <w:sz w:val="24"/>
        </w:rPr>
        <w:t>COUNTY OF HARRIS</w:t>
        <w:tab/>
        <w:t>§ </w:t>
      </w:r>
    </w:p>
    <w:p>
      <w:pPr>
        <w:pStyle w:val="Normal"/>
        <w:widowControl/>
        <w:jc w:val="both"/>
        <w:rPr>
          <w:sz w:val="24"/>
        </w:rPr>
      </w:pPr>
      <w:r>
        <w:rPr>
          <w:sz w:val="24"/>
        </w:rPr>
      </w:r>
    </w:p>
    <w:p>
      <w:pPr>
        <w:pStyle w:val="Normal"/>
        <w:widowControl/>
        <w:ind w:firstLine="720" w:end="0"/>
        <w:jc w:val="both"/>
        <w:rPr>
          <w:sz w:val="24"/>
        </w:rPr>
      </w:pPr>
      <w:r>
        <w:rPr>
          <w:sz w:val="24"/>
        </w:rPr>
        <w:t>BEFORE ME, the undersigned authority, on this date personally appeared Chris Hilgert, who, after being placed by me upon his oath stated as follows:</w:t>
      </w:r>
    </w:p>
    <w:p>
      <w:pPr>
        <w:pStyle w:val="Normal"/>
        <w:widowControl/>
        <w:jc w:val="both"/>
        <w:rPr>
          <w:sz w:val="24"/>
        </w:rPr>
      </w:pPr>
      <w:r>
        <w:rPr>
          <w:sz w:val="24"/>
        </w:rPr>
      </w:r>
    </w:p>
    <w:p>
      <w:pPr>
        <w:pStyle w:val="Normal"/>
        <w:widowControl/>
        <w:tabs>
          <w:tab w:val="clear" w:pos="720"/>
          <w:tab w:val="left" w:pos="-1440" w:leader="none"/>
        </w:tabs>
        <w:ind w:hanging="720" w:start="1440" w:end="0"/>
        <w:jc w:val="both"/>
        <w:rPr/>
      </w:pPr>
      <w:r>
        <w:rPr>
          <w:sz w:val="24"/>
        </w:rPr>
        <w:fldChar w:fldCharType="begin"/>
      </w:r>
      <w:r>
        <w:rPr>
          <w:sz w:val="24"/>
        </w:rPr>
        <w:instrText xml:space="preserve"> SEQ ParaNumbers1_0 \* ARABIC </w:instrText>
      </w:r>
      <w:r>
        <w:rPr>
          <w:sz w:val="24"/>
        </w:rPr>
        <w:fldChar w:fldCharType="separate"/>
      </w:r>
      <w:r>
        <w:rPr>
          <w:sz w:val="24"/>
        </w:rPr>
        <w:t>1</w:t>
      </w:r>
      <w:r>
        <w:rPr>
          <w:sz w:val="24"/>
        </w:rPr>
        <w:fldChar w:fldCharType="end"/>
      </w:r>
      <w:r>
        <w:rPr>
          <w:sz w:val="24"/>
        </w:rPr>
        <w:t>.</w:t>
        <w:tab/>
        <w:t>My name is Chris Hilgert.  I am over twenty-one (21) years of age, and am fully competent to make this affidavit. I am Director of the Enron Compression Services group at Enron North America Corp.  I have personal knowledge of the facts set forth in this affidavit, and those facts are true and correct.</w:t>
      </w:r>
    </w:p>
    <w:p>
      <w:pPr>
        <w:pStyle w:val="Normal"/>
        <w:widowControl/>
        <w:jc w:val="both"/>
        <w:rPr>
          <w:sz w:val="24"/>
        </w:rPr>
      </w:pPr>
      <w:r>
        <w:rPr>
          <w:sz w:val="24"/>
        </w:rPr>
      </w:r>
    </w:p>
    <w:p>
      <w:pPr>
        <w:pStyle w:val="BodyText"/>
        <w:ind w:hanging="720" w:start="1440" w:end="0"/>
        <w:rPr/>
      </w:pPr>
      <w:r>
        <w:rPr/>
        <w:fldChar w:fldCharType="begin"/>
      </w:r>
      <w:r>
        <w:rPr/>
        <w:instrText xml:space="preserve"> SEQ ParaNumbers1_0 \* ARABIC </w:instrText>
      </w:r>
      <w:r>
        <w:rPr/>
        <w:fldChar w:fldCharType="separate"/>
      </w:r>
      <w:r>
        <w:rPr/>
        <w:t>2</w:t>
      </w:r>
      <w:r>
        <w:rPr/>
        <w:fldChar w:fldCharType="end"/>
      </w:r>
      <w:r>
        <w:rPr/>
        <w:t>.</w:t>
        <w:tab/>
        <w:t xml:space="preserve">Enron Compression Services Company (“ECS”) has entered into a Compression Services Agreement (the “CSA”) with Florida Gas Transmission Company (“FGT”). Pursuant to the CSA, FGT will purchase from ECS continuous mechanical energy delivered to FGT via an electric motor drive train for the operation of FGT’s Compression Station 13A.    </w:t>
      </w:r>
    </w:p>
    <w:p>
      <w:pPr>
        <w:pStyle w:val="BodyText"/>
        <w:ind w:hanging="720" w:start="1440" w:end="0"/>
        <w:rPr/>
      </w:pPr>
      <w:r>
        <w:rPr/>
      </w:r>
    </w:p>
    <w:p>
      <w:pPr>
        <w:pStyle w:val="BodyText"/>
        <w:ind w:hanging="720" w:start="1440" w:end="0"/>
        <w:rPr/>
      </w:pPr>
      <w:r>
        <w:rPr/>
        <w:t>3.</w:t>
        <w:tab/>
        <w:t>If ECS fails to fulfill its obligations under the CSA and interrupts the delivery of mechanical energy, for reasons other than force majeure, then ECS would be in default and would be liable to FGT for damages under the CSA including reimbursing FGT for (i) any reservation credits that FGT would be obligated to refund their shippers due to such interruption (ii) any other costs and expenses incurred by FGT in its efforts to procure compression services.  The CSA has a 20-year term.</w:t>
      </w:r>
    </w:p>
    <w:p>
      <w:pPr>
        <w:pStyle w:val="BodyText"/>
        <w:rPr/>
      </w:pPr>
      <w:r>
        <w:rPr/>
      </w:r>
    </w:p>
    <w:p>
      <w:pPr>
        <w:pStyle w:val="BodyText"/>
        <w:ind w:hanging="720" w:start="1440" w:end="0"/>
        <w:rPr/>
      </w:pPr>
      <w:r>
        <w:rPr/>
        <w:t>4.</w:t>
        <w:tab/>
        <w:t>Under the terms of an equipment lease agreement between FGT and ECS, FGT is responsible for the design and construction of the electric motor drive train.  ECS leases the electric motor drive train from FGT and ECS provides mechanical energy to FGT through that drive train. The term of the equipment lease coincides with the term of the CSA.</w:t>
      </w:r>
    </w:p>
    <w:p>
      <w:pPr>
        <w:pStyle w:val="BodyText"/>
        <w:rPr/>
      </w:pPr>
      <w:r>
        <w:rPr/>
      </w:r>
    </w:p>
    <w:p>
      <w:pPr>
        <w:pStyle w:val="BodyText"/>
        <w:ind w:hanging="720" w:start="1440" w:end="0"/>
        <w:rPr/>
      </w:pPr>
      <w:r>
        <w:rPr/>
        <w:t>5.</w:t>
        <w:tab/>
        <w:t xml:space="preserve">ECS is a third party provider with respect to FGT and ECS may not function as an agent of FGT under the terms of the CSA. </w:t>
      </w:r>
    </w:p>
    <w:p>
      <w:pPr>
        <w:pStyle w:val="Normal"/>
        <w:widowControl/>
        <w:ind w:firstLine="720" w:end="0"/>
        <w:jc w:val="both"/>
        <w:rPr>
          <w:sz w:val="24"/>
        </w:rPr>
      </w:pPr>
      <w:r>
        <w:rPr>
          <w:sz w:val="24"/>
        </w:rPr>
      </w:r>
    </w:p>
    <w:p>
      <w:pPr>
        <w:pStyle w:val="BodyTextIndent2"/>
        <w:ind w:hanging="720" w:start="1440" w:end="0"/>
        <w:rPr>
          <w:rFonts w:ascii="Times New Roman" w:hAnsi="Times New Roman" w:cs="Times New Roman"/>
          <w:b w:val="false"/>
          <w:bCs w:val="false"/>
        </w:rPr>
      </w:pPr>
      <w:r>
        <w:rPr>
          <w:rFonts w:cs="Times New Roman" w:ascii="Times New Roman" w:hAnsi="Times New Roman"/>
          <w:b w:val="false"/>
          <w:bCs w:val="false"/>
        </w:rPr>
        <w:t>6.</w:t>
        <w:tab/>
        <w:t xml:space="preserve">ECS is wholly owned by Enron North America Corp.  Enron North America Corp. is wholly owned by Enron Corp.  Florida Gas Transmission Company is wholly owned by Citrus Corp.  Citrus Corp. is owned by Enron Corp. and by El Paso Energy Corporation.  Enron Corp. and El Paso Energy Corporation each have a 50% share of Citrus Corp. </w:t>
      </w:r>
    </w:p>
    <w:p>
      <w:pPr>
        <w:pStyle w:val="Normal"/>
        <w:widowControl/>
        <w:ind w:firstLine="720" w:end="0"/>
        <w:jc w:val="both"/>
        <w:rPr>
          <w:rFonts w:ascii="Times New Roman" w:hAnsi="Times New Roman" w:cs="Times New Roman"/>
          <w:b/>
          <w:bCs/>
          <w:sz w:val="24"/>
        </w:rPr>
      </w:pPr>
      <w:r>
        <w:rPr>
          <w:rFonts w:cs="Times New Roman"/>
          <w:b/>
          <w:bCs/>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tabs>
          <w:tab w:val="clear" w:pos="720"/>
          <w:tab w:val="right" w:pos="9360" w:leader="none"/>
        </w:tabs>
        <w:ind w:firstLine="4320" w:end="0"/>
        <w:jc w:val="both"/>
        <w:rPr>
          <w:sz w:val="24"/>
        </w:rPr>
      </w:pPr>
      <w:r>
        <w:rPr>
          <w:sz w:val="24"/>
          <w:u w:val="single"/>
        </w:rPr>
        <w:tab/>
      </w:r>
    </w:p>
    <w:p>
      <w:pPr>
        <w:pStyle w:val="Normal"/>
        <w:widowControl/>
        <w:ind w:firstLine="4320" w:end="0"/>
        <w:jc w:val="both"/>
        <w:rPr>
          <w:sz w:val="24"/>
        </w:rPr>
      </w:pPr>
      <w:r>
        <w:rPr>
          <w:sz w:val="24"/>
        </w:rPr>
        <w:t>Chris Hilgert</w:t>
      </w:r>
    </w:p>
    <w:p>
      <w:pPr>
        <w:pStyle w:val="Normal"/>
        <w:widowControl/>
        <w:jc w:val="both"/>
        <w:rPr>
          <w:sz w:val="24"/>
        </w:rPr>
      </w:pPr>
      <w:r>
        <w:rPr>
          <w:sz w:val="24"/>
        </w:rPr>
      </w:r>
    </w:p>
    <w:p>
      <w:pPr>
        <w:pStyle w:val="Normal"/>
        <w:widowControl/>
        <w:jc w:val="both"/>
        <w:rPr>
          <w:sz w:val="24"/>
        </w:rPr>
      </w:pPr>
      <w:r>
        <w:rPr>
          <w:sz w:val="24"/>
        </w:rPr>
      </w:r>
    </w:p>
    <w:p>
      <w:pPr>
        <w:pStyle w:val="Normal"/>
        <w:widowControl/>
        <w:ind w:firstLine="720" w:end="0"/>
        <w:jc w:val="both"/>
        <w:rPr>
          <w:sz w:val="24"/>
        </w:rPr>
      </w:pPr>
      <w:r>
        <w:rPr>
          <w:sz w:val="24"/>
        </w:rPr>
        <w:t>SUBSCRIBED AND SWORN TO BEFORE ME, the undersigned authority on this _________ day of __________________________, 2001.</w:t>
      </w:r>
    </w:p>
    <w:p>
      <w:pPr>
        <w:pStyle w:val="Normal"/>
        <w:widowControl/>
        <w:jc w:val="both"/>
        <w:rPr>
          <w:sz w:val="24"/>
        </w:rPr>
      </w:pPr>
      <w:r>
        <w:rPr>
          <w:sz w:val="24"/>
        </w:rPr>
      </w:r>
    </w:p>
    <w:p>
      <w:pPr>
        <w:pStyle w:val="Normal"/>
        <w:widowControl/>
        <w:jc w:val="both"/>
        <w:rPr>
          <w:sz w:val="24"/>
        </w:rPr>
      </w:pPr>
      <w:r>
        <w:rPr>
          <w:sz w:val="24"/>
        </w:rPr>
      </w:r>
    </w:p>
    <w:p>
      <w:pPr>
        <w:pStyle w:val="Normal"/>
        <w:widowControl/>
        <w:jc w:val="both"/>
        <w:rPr>
          <w:sz w:val="24"/>
        </w:rPr>
      </w:pPr>
      <w:r>
        <w:rPr>
          <w:sz w:val="24"/>
        </w:rPr>
      </w:r>
    </w:p>
    <w:p>
      <w:pPr>
        <w:pStyle w:val="Normal"/>
        <w:widowControl/>
        <w:tabs>
          <w:tab w:val="clear" w:pos="720"/>
          <w:tab w:val="right" w:pos="9360" w:leader="none"/>
        </w:tabs>
        <w:ind w:firstLine="4320" w:end="0"/>
        <w:jc w:val="both"/>
        <w:rPr>
          <w:sz w:val="24"/>
        </w:rPr>
      </w:pPr>
      <w:r>
        <w:rPr>
          <w:sz w:val="24"/>
          <w:u w:val="single"/>
        </w:rPr>
        <w:tab/>
      </w:r>
    </w:p>
    <w:p>
      <w:pPr>
        <w:pStyle w:val="Normal"/>
        <w:widowControl/>
        <w:ind w:firstLine="4320" w:end="0"/>
        <w:jc w:val="both"/>
        <w:rPr>
          <w:sz w:val="24"/>
        </w:rPr>
      </w:pPr>
      <w:r>
        <w:rPr>
          <w:sz w:val="24"/>
        </w:rPr>
        <w:t>Notary Public in and for the</w:t>
      </w:r>
    </w:p>
    <w:p>
      <w:pPr>
        <w:pStyle w:val="Normal"/>
        <w:widowControl/>
        <w:ind w:firstLine="4320" w:end="0"/>
        <w:jc w:val="both"/>
        <w:rPr>
          <w:sz w:val="24"/>
        </w:rPr>
      </w:pPr>
      <w:r>
        <w:rPr>
          <w:sz w:val="24"/>
        </w:rPr>
        <w:t>State of Texas</w:t>
      </w:r>
    </w:p>
    <w:sectPr>
      <w:footerReference w:type="default" r:id="rId2"/>
      <w:type w:val="nextPage"/>
      <w:pgSz w:w="12240" w:h="15840"/>
      <w:pgMar w:left="1440" w:right="1440" w:gutter="0" w:header="0" w:top="2160" w:footer="475" w:bottom="53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440"/>
      <w:rPr/>
    </w:pPr>
    <w:r>
      <w:rPr/>
    </w:r>
  </w:p>
  <w:p>
    <w:pPr>
      <w:pStyle w:val="Normal"/>
      <w:jc w:val="both"/>
      <w:rPr>
        <w:sz w:val="16"/>
        <w:szCs w:val="16"/>
      </w:rPr>
    </w:pPr>
    <w:r>
      <w:rPr>
        <w:sz w:val="16"/>
        <w:szCs w:val="16"/>
      </w:rPr>
      <w:t>EDISAM\PERS\PERSONAL</w:t>
    </w:r>
  </w:p>
  <w:p>
    <w:pPr>
      <w:pStyle w:val="Normal"/>
      <w:jc w:val="both"/>
      <w:rPr>
        <w:sz w:val="16"/>
        <w:szCs w:val="16"/>
      </w:rPr>
    </w:pPr>
    <w:r>
      <w:rPr>
        <w:sz w:val="16"/>
        <w:szCs w:val="16"/>
      </w:rPr>
      <w:t>HOUSTON\808323.01</w:t>
    </w:r>
  </w:p>
  <w:p>
    <w:pPr>
      <w:pStyle w:val="Normal"/>
      <w:jc w:val="both"/>
      <w:rPr>
        <w:sz w:val="16"/>
        <w:szCs w:val="16"/>
      </w:rPr>
    </w:pPr>
    <w:r>
      <w:rPr>
        <w:sz w:val="16"/>
        <w:szCs w:val="16"/>
      </w:rPr>
    </w:r>
  </w:p>
</w:ftr>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autoSpaceDE w:val="true"/>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widowControl/>
      <w:autoSpaceDE w:val="true"/>
      <w:ind w:firstLine="720" w:start="0" w:end="0"/>
      <w:jc w:val="both"/>
    </w:pPr>
    <w:rPr>
      <w:rFonts w:ascii="Arial" w:hAnsi="Arial" w:cs="Arial"/>
      <w:b/>
      <w:bC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2001-07-17T12:09:00Z</dcterms:created>
  <dc:creator>gnemec</dc:creator>
  <dc:description/>
  <dc:language>en-CA</dc:language>
  <cp:lastModifiedBy>gnemec</cp:lastModifiedBy>
  <dcterms:modified xsi:type="dcterms:W3CDTF">2001-07-17T13:59:00Z</dcterms:modified>
  <cp:revision>5</cp:revision>
  <dc:subject/>
  <dc:title/>
</cp:coreProperties>
</file>