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t>&lt;&lt;Date&gt;&gt;</w:t>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t>&lt;&lt; addressed to distributors and purchase agents&gt;&gt;</w:t>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t>Dear _____________:</w:t>
      </w:r>
    </w:p>
    <w:p>
      <w:pPr>
        <w:pStyle w:val="Normal"/>
        <w:rPr>
          <w:rFonts w:ascii="Arial" w:hAnsi="Arial" w:eastAsia="Arial" w:cs="Arial"/>
          <w:sz w:val="22"/>
          <w:szCs w:val="22"/>
        </w:rPr>
      </w:pPr>
      <w:r>
        <w:rPr>
          <w:rFonts w:eastAsia="Arial" w:cs="Arial" w:ascii="Arial" w:hAnsi="Arial"/>
          <w:sz w:val="22"/>
          <w:szCs w:val="22"/>
        </w:rPr>
      </w:r>
    </w:p>
    <w:p>
      <w:pPr>
        <w:pStyle w:val="Normal"/>
        <w:rPr/>
      </w:pPr>
      <w:r>
        <w:rPr>
          <w:rFonts w:eastAsia="Arial" w:cs="Arial" w:ascii="Arial" w:hAnsi="Arial"/>
          <w:sz w:val="22"/>
          <w:szCs w:val="22"/>
        </w:rPr>
        <w:t xml:space="preserve">As you know, the Wholesale Energy to Market Program has been in place for almost 3 months.  TVA recently held a users group meeting to review the results of the program thusfar and to review issues which have been raised since the program’s inception.  As a result of that meeting, we are making certain changes in the </w:t>
      </w:r>
      <w:r>
        <w:rPr>
          <w:rFonts w:eastAsia="Arial" w:cs="Arial" w:ascii="Arial" w:hAnsi="Arial"/>
          <w:sz w:val="22"/>
          <w:szCs w:val="22"/>
          <w:u w:val="single"/>
        </w:rPr>
        <w:t>Program Guidelines</w:t>
      </w:r>
      <w:r>
        <w:rPr>
          <w:rFonts w:eastAsia="Arial" w:cs="Arial" w:ascii="Arial" w:hAnsi="Arial"/>
          <w:sz w:val="22"/>
          <w:szCs w:val="22"/>
        </w:rPr>
        <w:t xml:space="preserve"> provided for under our Wholesale Energy to Market Agreement. </w:t>
      </w:r>
    </w:p>
    <w:p>
      <w:pPr>
        <w:pStyle w:val="Normal"/>
        <w:rPr>
          <w:rFonts w:ascii="Arial" w:hAnsi="Arial" w:eastAsia="Arial" w:cs="Arial"/>
          <w:sz w:val="22"/>
          <w:szCs w:val="22"/>
        </w:rPr>
      </w:pPr>
      <w:r>
        <w:rPr>
          <w:rFonts w:eastAsia="Arial" w:cs="Arial" w:ascii="Arial" w:hAnsi="Arial"/>
          <w:sz w:val="22"/>
          <w:szCs w:val="22"/>
        </w:rPr>
      </w:r>
    </w:p>
    <w:p>
      <w:pPr>
        <w:pStyle w:val="Normal"/>
        <w:rPr/>
      </w:pPr>
      <w:r>
        <w:rPr>
          <w:rFonts w:eastAsia="Arial" w:cs="Arial" w:ascii="Arial" w:hAnsi="Arial"/>
          <w:sz w:val="22"/>
          <w:szCs w:val="22"/>
        </w:rPr>
        <w:t xml:space="preserve">Accordingly, effective as of July 6, 2000, the </w:t>
      </w:r>
      <w:r>
        <w:rPr>
          <w:rFonts w:eastAsia="Arial" w:cs="Arial" w:ascii="Arial" w:hAnsi="Arial"/>
          <w:sz w:val="22"/>
          <w:szCs w:val="22"/>
          <w:u w:val="single"/>
        </w:rPr>
        <w:t>Program Guidelines</w:t>
      </w:r>
      <w:r>
        <w:rPr>
          <w:rFonts w:eastAsia="Arial" w:cs="Arial" w:ascii="Arial" w:hAnsi="Arial"/>
          <w:sz w:val="22"/>
          <w:szCs w:val="22"/>
        </w:rPr>
        <w:t xml:space="preserve"> are supplemented as follows.</w:t>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b/>
          <w:bCs/>
          <w:sz w:val="22"/>
          <w:szCs w:val="22"/>
          <w:u w:val="single"/>
        </w:rPr>
        <w:t>Purchased Block Arrangements</w:t>
      </w:r>
    </w:p>
    <w:p>
      <w:pPr>
        <w:pStyle w:val="Normal"/>
        <w:rPr>
          <w:rFonts w:ascii="Arial" w:hAnsi="Arial" w:eastAsia="Arial" w:cs="Arial"/>
          <w:sz w:val="22"/>
          <w:szCs w:val="22"/>
        </w:rPr>
      </w:pPr>
      <w:r>
        <w:rPr>
          <w:rFonts w:eastAsia="Arial" w:cs="Arial" w:ascii="Arial" w:hAnsi="Arial"/>
          <w:sz w:val="22"/>
          <w:szCs w:val="22"/>
        </w:rPr>
      </w:r>
    </w:p>
    <w:p>
      <w:pPr>
        <w:pStyle w:val="Normal"/>
        <w:ind w:start="720" w:end="0"/>
        <w:rPr/>
      </w:pPr>
      <w:r>
        <w:rPr>
          <w:rFonts w:eastAsia="Arial" w:cs="Arial" w:ascii="Arial" w:hAnsi="Arial"/>
          <w:sz w:val="22"/>
          <w:szCs w:val="22"/>
        </w:rPr>
        <w:t xml:space="preserve">In lieu of the requirement that delivery arrangements for </w:t>
      </w:r>
      <w:r>
        <w:rPr>
          <w:rFonts w:eastAsia="Arial" w:cs="Arial" w:ascii="Arial" w:hAnsi="Arial"/>
          <w:sz w:val="22"/>
          <w:szCs w:val="22"/>
          <w:u w:val="single"/>
        </w:rPr>
        <w:t>Purchased Blocks</w:t>
      </w:r>
      <w:r>
        <w:rPr>
          <w:rFonts w:eastAsia="Arial" w:cs="Arial" w:ascii="Arial" w:hAnsi="Arial"/>
          <w:sz w:val="22"/>
          <w:szCs w:val="22"/>
        </w:rPr>
        <w:t xml:space="preserve"> be made by 12:00 Noon on Friday for the entire 5-day period covered by the </w:t>
      </w:r>
      <w:r>
        <w:rPr>
          <w:rFonts w:eastAsia="Arial" w:cs="Arial" w:ascii="Arial" w:hAnsi="Arial"/>
          <w:sz w:val="22"/>
          <w:szCs w:val="22"/>
          <w:u w:val="single"/>
        </w:rPr>
        <w:t>Purchased Block</w:t>
      </w:r>
      <w:r>
        <w:rPr>
          <w:rFonts w:eastAsia="Arial" w:cs="Arial" w:ascii="Arial" w:hAnsi="Arial"/>
          <w:sz w:val="22"/>
          <w:szCs w:val="22"/>
        </w:rPr>
        <w:t xml:space="preserve">, the Distributor or the </w:t>
      </w:r>
      <w:r>
        <w:rPr>
          <w:rFonts w:eastAsia="Arial" w:cs="Arial" w:ascii="Arial" w:hAnsi="Arial"/>
          <w:sz w:val="22"/>
          <w:szCs w:val="22"/>
          <w:u w:val="single"/>
        </w:rPr>
        <w:t>Purchase Group</w:t>
      </w:r>
      <w:r>
        <w:rPr>
          <w:rFonts w:eastAsia="Arial" w:cs="Arial" w:ascii="Arial" w:hAnsi="Arial"/>
          <w:sz w:val="22"/>
          <w:szCs w:val="22"/>
        </w:rPr>
        <w:t xml:space="preserve"> may elect to make delivery arrangements in 5 one-day periods.  In such case, the Distributor or </w:t>
      </w:r>
      <w:r>
        <w:rPr>
          <w:rFonts w:eastAsia="Arial" w:cs="Arial" w:ascii="Arial" w:hAnsi="Arial"/>
          <w:sz w:val="22"/>
          <w:szCs w:val="22"/>
          <w:u w:val="single"/>
        </w:rPr>
        <w:t>Purchase Group</w:t>
      </w:r>
      <w:r>
        <w:rPr>
          <w:rFonts w:eastAsia="Arial" w:cs="Arial" w:ascii="Arial" w:hAnsi="Arial"/>
          <w:sz w:val="22"/>
          <w:szCs w:val="22"/>
        </w:rPr>
        <w:t xml:space="preserve"> will complete delivery arrangements for each day by no later than 12:00 Noon on the preceding day (or in the case for deliveries for Monday, by 12:00 Noon on Friday of the preceding week).  </w:t>
      </w:r>
    </w:p>
    <w:p>
      <w:pPr>
        <w:pStyle w:val="Normal"/>
        <w:ind w:start="720" w:end="0"/>
        <w:rPr>
          <w:rFonts w:ascii="Arial" w:hAnsi="Arial" w:eastAsia="Arial" w:cs="Arial"/>
          <w:sz w:val="22"/>
          <w:szCs w:val="22"/>
        </w:rPr>
      </w:pPr>
      <w:r>
        <w:rPr>
          <w:rFonts w:eastAsia="Arial" w:cs="Arial" w:ascii="Arial" w:hAnsi="Arial"/>
          <w:sz w:val="22"/>
          <w:szCs w:val="22"/>
        </w:rPr>
      </w:r>
    </w:p>
    <w:p>
      <w:pPr>
        <w:pStyle w:val="Normal"/>
        <w:ind w:start="720" w:end="0"/>
        <w:rPr/>
      </w:pPr>
      <w:r>
        <w:rPr>
          <w:rFonts w:eastAsia="Arial" w:cs="Arial" w:ascii="Arial" w:hAnsi="Arial"/>
          <w:sz w:val="22"/>
          <w:szCs w:val="22"/>
        </w:rPr>
        <w:t xml:space="preserve">Between 1-6 p.m. Central Time of each such one-day period, TVA will confirm with Distributors or their </w:t>
      </w:r>
      <w:r>
        <w:rPr>
          <w:rFonts w:eastAsia="Arial" w:cs="Arial" w:ascii="Arial" w:hAnsi="Arial"/>
          <w:sz w:val="22"/>
          <w:szCs w:val="22"/>
          <w:u w:val="single"/>
        </w:rPr>
        <w:t>Purchase Agents</w:t>
      </w:r>
      <w:r>
        <w:rPr>
          <w:rFonts w:eastAsia="Arial" w:cs="Arial" w:ascii="Arial" w:hAnsi="Arial"/>
          <w:sz w:val="22"/>
          <w:szCs w:val="22"/>
        </w:rPr>
        <w:t xml:space="preserve"> that all deliveries arrangements for the following day have been made.  If TVA is unable to confirm that such arrangements have been completed, the affected </w:t>
      </w:r>
      <w:r>
        <w:rPr>
          <w:rFonts w:eastAsia="Arial" w:cs="Arial" w:ascii="Arial" w:hAnsi="Arial"/>
          <w:sz w:val="22"/>
          <w:szCs w:val="22"/>
          <w:u w:val="single"/>
        </w:rPr>
        <w:t>Purchased Block(s)</w:t>
      </w:r>
      <w:r>
        <w:rPr>
          <w:rFonts w:eastAsia="Arial" w:cs="Arial" w:ascii="Arial" w:hAnsi="Arial"/>
          <w:sz w:val="22"/>
          <w:szCs w:val="22"/>
        </w:rPr>
        <w:t xml:space="preserve"> for that day will be deemed to be </w:t>
      </w:r>
      <w:r>
        <w:rPr>
          <w:rFonts w:eastAsia="Arial" w:cs="Arial" w:ascii="Arial" w:hAnsi="Arial"/>
          <w:sz w:val="22"/>
          <w:szCs w:val="22"/>
          <w:u w:val="single"/>
        </w:rPr>
        <w:t>Undelivered Energy</w:t>
      </w:r>
      <w:r>
        <w:rPr>
          <w:rFonts w:eastAsia="Arial" w:cs="Arial" w:ascii="Arial" w:hAnsi="Arial"/>
          <w:sz w:val="22"/>
          <w:szCs w:val="22"/>
        </w:rPr>
        <w:t>.</w:t>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b/>
          <w:bCs/>
          <w:sz w:val="22"/>
          <w:szCs w:val="22"/>
          <w:u w:val="single"/>
        </w:rPr>
        <w:t>Interrupted Schedule</w:t>
      </w:r>
    </w:p>
    <w:p>
      <w:pPr>
        <w:pStyle w:val="Normal"/>
        <w:rPr>
          <w:rFonts w:ascii="Arial" w:hAnsi="Arial" w:eastAsia="Arial" w:cs="Arial"/>
          <w:sz w:val="22"/>
          <w:szCs w:val="22"/>
        </w:rPr>
      </w:pPr>
      <w:r>
        <w:rPr>
          <w:rFonts w:eastAsia="Arial" w:cs="Arial" w:ascii="Arial" w:hAnsi="Arial"/>
          <w:sz w:val="22"/>
          <w:szCs w:val="22"/>
        </w:rPr>
      </w:r>
    </w:p>
    <w:p>
      <w:pPr>
        <w:pStyle w:val="Normal"/>
        <w:ind w:start="720" w:end="0"/>
        <w:rPr/>
      </w:pPr>
      <w:r>
        <w:rPr>
          <w:rFonts w:eastAsia="Arial" w:cs="Arial" w:ascii="Arial" w:hAnsi="Arial"/>
          <w:sz w:val="22"/>
          <w:szCs w:val="22"/>
        </w:rPr>
        <w:t xml:space="preserve">If the parties (TVA and the Distributor or </w:t>
      </w:r>
      <w:r>
        <w:rPr>
          <w:rFonts w:eastAsia="Arial" w:cs="Arial" w:ascii="Arial" w:hAnsi="Arial"/>
          <w:sz w:val="22"/>
          <w:szCs w:val="22"/>
          <w:u w:val="single"/>
        </w:rPr>
        <w:t>Purchase Group</w:t>
      </w:r>
      <w:r>
        <w:rPr>
          <w:rFonts w:eastAsia="Arial" w:cs="Arial" w:ascii="Arial" w:hAnsi="Arial"/>
          <w:sz w:val="22"/>
          <w:szCs w:val="22"/>
        </w:rPr>
        <w:t xml:space="preserve">) agree that it is likely that a </w:t>
      </w:r>
      <w:r>
        <w:rPr>
          <w:rFonts w:eastAsia="Arial" w:cs="Arial" w:ascii="Arial" w:hAnsi="Arial"/>
          <w:sz w:val="22"/>
          <w:szCs w:val="22"/>
          <w:u w:val="single"/>
        </w:rPr>
        <w:t>Purchased Block</w:t>
      </w:r>
      <w:r>
        <w:rPr>
          <w:rFonts w:eastAsia="Arial" w:cs="Arial" w:ascii="Arial" w:hAnsi="Arial"/>
          <w:sz w:val="22"/>
          <w:szCs w:val="22"/>
        </w:rPr>
        <w:t xml:space="preserve"> may be interrupted during the day due to an anticipated loss of generation source or loss of transmission, the Distributor or </w:t>
      </w:r>
      <w:r>
        <w:rPr>
          <w:rFonts w:eastAsia="Arial" w:cs="Arial" w:ascii="Arial" w:hAnsi="Arial"/>
          <w:sz w:val="22"/>
          <w:szCs w:val="22"/>
          <w:u w:val="single"/>
        </w:rPr>
        <w:t>Purchase Group</w:t>
      </w:r>
      <w:r>
        <w:rPr>
          <w:rFonts w:eastAsia="Arial" w:cs="Arial" w:ascii="Arial" w:hAnsi="Arial"/>
          <w:sz w:val="22"/>
          <w:szCs w:val="22"/>
        </w:rPr>
        <w:t xml:space="preserve"> may make alternative delivery arrangements for the </w:t>
      </w:r>
      <w:r>
        <w:rPr>
          <w:rFonts w:eastAsia="Arial" w:cs="Arial" w:ascii="Arial" w:hAnsi="Arial"/>
          <w:sz w:val="22"/>
          <w:szCs w:val="22"/>
          <w:u w:val="single"/>
        </w:rPr>
        <w:t>Purchased Block</w:t>
      </w:r>
      <w:r>
        <w:rPr>
          <w:rFonts w:eastAsia="Arial" w:cs="Arial" w:ascii="Arial" w:hAnsi="Arial"/>
          <w:sz w:val="22"/>
          <w:szCs w:val="22"/>
        </w:rPr>
        <w:t xml:space="preserve"> for the balance of the day.  Any such intra-day schedule change must not result in a reduction of energy to be delivered to TVA.  </w:t>
      </w:r>
    </w:p>
    <w:p>
      <w:pPr>
        <w:pStyle w:val="Normal"/>
        <w:ind w:start="720" w:end="0"/>
        <w:rPr>
          <w:rFonts w:ascii="Arial" w:hAnsi="Arial" w:eastAsia="Arial" w:cs="Arial"/>
          <w:sz w:val="22"/>
          <w:szCs w:val="22"/>
        </w:rPr>
      </w:pPr>
      <w:r>
        <w:rPr>
          <w:rFonts w:eastAsia="Arial" w:cs="Arial" w:ascii="Arial" w:hAnsi="Arial"/>
          <w:sz w:val="22"/>
          <w:szCs w:val="22"/>
        </w:rPr>
      </w:r>
    </w:p>
    <w:p>
      <w:pPr>
        <w:pStyle w:val="Normal"/>
        <w:ind w:start="720" w:end="0"/>
        <w:rPr/>
      </w:pPr>
      <w:r>
        <w:rPr>
          <w:rFonts w:eastAsia="Arial" w:cs="Arial" w:ascii="Arial" w:hAnsi="Arial"/>
          <w:sz w:val="22"/>
          <w:szCs w:val="22"/>
        </w:rPr>
        <w:t xml:space="preserve">For each intra-day schedule change, the Distributor or </w:t>
      </w:r>
      <w:r>
        <w:rPr>
          <w:rFonts w:eastAsia="Arial" w:cs="Arial" w:ascii="Arial" w:hAnsi="Arial"/>
          <w:sz w:val="22"/>
          <w:szCs w:val="22"/>
          <w:u w:val="single"/>
        </w:rPr>
        <w:t>Purchase Agent</w:t>
      </w:r>
      <w:r>
        <w:rPr>
          <w:rFonts w:eastAsia="Arial" w:cs="Arial" w:ascii="Arial" w:hAnsi="Arial"/>
          <w:sz w:val="22"/>
          <w:szCs w:val="22"/>
        </w:rPr>
        <w:t xml:space="preserve"> must (1) complete all transmission arrangements (including reservations on each transmission provider’s OASIS from the generation source to the TVA system), (2) complete all NERC tag forms, (3) distribute such tag forms to all affected control areas and (4) notify TVA of the alternative arrangements, all prior to the hour in which the changed delivery schedule is to begin.  </w:t>
      </w:r>
    </w:p>
    <w:p>
      <w:pPr>
        <w:pStyle w:val="Normal"/>
        <w:ind w:start="720" w:end="0"/>
        <w:rPr>
          <w:rFonts w:ascii="Arial" w:hAnsi="Arial" w:eastAsia="Arial" w:cs="Arial"/>
          <w:sz w:val="22"/>
          <w:szCs w:val="22"/>
        </w:rPr>
      </w:pPr>
      <w:r>
        <w:rPr>
          <w:rFonts w:eastAsia="Arial" w:cs="Arial" w:ascii="Arial" w:hAnsi="Arial"/>
          <w:sz w:val="22"/>
          <w:szCs w:val="22"/>
        </w:rPr>
      </w:r>
    </w:p>
    <w:p>
      <w:pPr>
        <w:pStyle w:val="Normal"/>
        <w:ind w:start="720" w:end="0"/>
        <w:rPr/>
      </w:pPr>
      <w:r>
        <w:rPr>
          <w:rFonts w:eastAsia="Arial" w:cs="Arial" w:ascii="Arial" w:hAnsi="Arial"/>
          <w:sz w:val="22"/>
          <w:szCs w:val="22"/>
        </w:rPr>
        <w:t xml:space="preserve">Alternatively, the Distributor or </w:t>
      </w:r>
      <w:r>
        <w:rPr>
          <w:rFonts w:eastAsia="Arial" w:cs="Arial" w:ascii="Arial" w:hAnsi="Arial"/>
          <w:sz w:val="22"/>
          <w:szCs w:val="22"/>
          <w:u w:val="single"/>
        </w:rPr>
        <w:t>Purchase Group</w:t>
      </w:r>
      <w:r>
        <w:rPr>
          <w:rFonts w:eastAsia="Arial" w:cs="Arial" w:ascii="Arial" w:hAnsi="Arial"/>
          <w:sz w:val="22"/>
          <w:szCs w:val="22"/>
        </w:rPr>
        <w:t xml:space="preserve"> may delegate authority to a third party (using the enclosed form) to act on behalf of the Distributor or </w:t>
      </w:r>
      <w:r>
        <w:rPr>
          <w:rFonts w:eastAsia="Arial" w:cs="Arial" w:ascii="Arial" w:hAnsi="Arial"/>
          <w:sz w:val="22"/>
          <w:szCs w:val="22"/>
          <w:u w:val="single"/>
        </w:rPr>
        <w:t>Purchase Group</w:t>
      </w:r>
      <w:r>
        <w:rPr>
          <w:rFonts w:eastAsia="Arial" w:cs="Arial" w:ascii="Arial" w:hAnsi="Arial"/>
          <w:sz w:val="22"/>
          <w:szCs w:val="22"/>
        </w:rPr>
        <w:t xml:space="preserve"> in making the intra-day schedule changes provided for above.  For any such delegation to be effective, the Distributor’s or </w:t>
      </w:r>
      <w:r>
        <w:rPr>
          <w:rFonts w:eastAsia="Arial" w:cs="Arial" w:ascii="Arial" w:hAnsi="Arial"/>
          <w:sz w:val="22"/>
          <w:szCs w:val="22"/>
          <w:u w:val="single"/>
        </w:rPr>
        <w:t>Purchase Group’s</w:t>
      </w:r>
      <w:r>
        <w:rPr>
          <w:rFonts w:eastAsia="Arial" w:cs="Arial" w:ascii="Arial" w:hAnsi="Arial"/>
          <w:sz w:val="22"/>
          <w:szCs w:val="22"/>
        </w:rPr>
        <w:t xml:space="preserve"> Operating Representative must complete and submit the form for TVA’s approval together with the fully executed Wholesale Energy to Market Confirmation Sheet (provided for in item 6 of section D to the </w:t>
      </w:r>
      <w:r>
        <w:rPr>
          <w:rFonts w:eastAsia="Arial" w:cs="Arial" w:ascii="Arial" w:hAnsi="Arial"/>
          <w:sz w:val="22"/>
          <w:szCs w:val="22"/>
          <w:u w:val="single"/>
        </w:rPr>
        <w:t>Program Guidelines</w:t>
      </w:r>
      <w:r>
        <w:rPr>
          <w:rFonts w:eastAsia="Arial" w:cs="Arial" w:ascii="Arial" w:hAnsi="Arial"/>
          <w:sz w:val="22"/>
          <w:szCs w:val="22"/>
        </w:rPr>
        <w:t xml:space="preserve">) for that </w:t>
      </w:r>
      <w:r>
        <w:rPr>
          <w:rFonts w:eastAsia="Arial" w:cs="Arial" w:ascii="Arial" w:hAnsi="Arial"/>
          <w:sz w:val="22"/>
          <w:szCs w:val="22"/>
          <w:u w:val="single"/>
        </w:rPr>
        <w:t>Purchased Block</w:t>
      </w:r>
      <w:r>
        <w:rPr>
          <w:rFonts w:eastAsia="Arial" w:cs="Arial" w:ascii="Arial" w:hAnsi="Arial"/>
          <w:sz w:val="22"/>
          <w:szCs w:val="22"/>
        </w:rPr>
        <w:t xml:space="preserve">. </w:t>
      </w:r>
    </w:p>
    <w:p>
      <w:pPr>
        <w:pStyle w:val="Normal"/>
        <w:ind w:start="720" w:end="0"/>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t xml:space="preserve">Please note that the additional options provided for above will add additional obligations to TVA’s bulk power trading responsibilities.  As a result, the options are being offered at this time on a trial basis and should TVA determine that any such option may jeopardize its ability to fulfill those responsibilities, that option will be terminated upon not less than two weeks' notice.  </w:t>
      </w:r>
    </w:p>
    <w:p>
      <w:pPr>
        <w:pStyle w:val="Normal"/>
        <w:rPr>
          <w:rFonts w:ascii="Arial" w:hAnsi="Arial" w:eastAsia="Arial" w:cs="Arial"/>
          <w:sz w:val="22"/>
          <w:szCs w:val="22"/>
        </w:rPr>
      </w:pPr>
      <w:r>
        <w:rPr>
          <w:rFonts w:eastAsia="Arial" w:cs="Arial" w:ascii="Arial" w:hAnsi="Arial"/>
          <w:sz w:val="22"/>
          <w:szCs w:val="22"/>
        </w:rPr>
      </w:r>
    </w:p>
    <w:p>
      <w:pPr>
        <w:pStyle w:val="Normal"/>
        <w:rPr/>
      </w:pPr>
      <w:r>
        <w:rPr>
          <w:rFonts w:eastAsia="Arial" w:cs="Arial" w:ascii="Arial" w:hAnsi="Arial"/>
          <w:sz w:val="22"/>
          <w:szCs w:val="22"/>
        </w:rPr>
        <w:t xml:space="preserve">We hope that these additional options will help improve the overall effectiveness of the program.  We are also exploring ways of implementing other suggested revisions to the program (such as allowing Distributors and </w:t>
      </w:r>
      <w:r>
        <w:rPr>
          <w:rFonts w:eastAsia="Arial" w:cs="Arial" w:ascii="Arial" w:hAnsi="Arial"/>
          <w:sz w:val="22"/>
          <w:szCs w:val="22"/>
          <w:u w:val="single"/>
        </w:rPr>
        <w:t>Purchase Groups</w:t>
      </w:r>
      <w:r>
        <w:rPr>
          <w:rFonts w:eastAsia="Arial" w:cs="Arial" w:ascii="Arial" w:hAnsi="Arial"/>
          <w:sz w:val="22"/>
          <w:szCs w:val="22"/>
        </w:rPr>
        <w:t xml:space="preserve"> to make multiple purchase arrangements during the week and implementing a bid-offer system).  We will keep you informed of these changes as they are developed.  In the meantime, if you have any questions, please contact Billie Queen at (423) 751-8641.</w:t>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t>Sincerely</w:t>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t>Belinda F. Thornton</w:t>
      </w:r>
    </w:p>
    <w:p>
      <w:pPr>
        <w:pStyle w:val="Normal"/>
        <w:rPr>
          <w:rFonts w:ascii="Arial" w:hAnsi="Arial" w:eastAsia="Arial" w:cs="Arial"/>
          <w:sz w:val="22"/>
          <w:szCs w:val="22"/>
        </w:rPr>
      </w:pPr>
      <w:r>
        <w:rPr>
          <w:rFonts w:eastAsia="Arial" w:cs="Arial" w:ascii="Arial" w:hAnsi="Arial"/>
          <w:sz w:val="22"/>
          <w:szCs w:val="22"/>
        </w:rPr>
        <w:t>Manager</w:t>
      </w:r>
    </w:p>
    <w:p>
      <w:pPr>
        <w:pStyle w:val="Normal"/>
        <w:rPr>
          <w:rFonts w:ascii="Arial" w:hAnsi="Arial" w:eastAsia="Arial" w:cs="Arial"/>
          <w:sz w:val="22"/>
          <w:szCs w:val="22"/>
        </w:rPr>
      </w:pPr>
      <w:r>
        <w:rPr>
          <w:rFonts w:eastAsia="Arial" w:cs="Arial" w:ascii="Arial" w:hAnsi="Arial"/>
          <w:sz w:val="22"/>
          <w:szCs w:val="22"/>
        </w:rPr>
        <w:t>Trading Development and Support</w:t>
      </w:r>
    </w:p>
    <w:p>
      <w:pPr>
        <w:pStyle w:val="Normal"/>
        <w:rPr>
          <w:rFonts w:ascii="Arial" w:hAnsi="Arial" w:eastAsia="Arial" w:cs="Arial"/>
          <w:sz w:val="22"/>
          <w:szCs w:val="22"/>
        </w:rPr>
      </w:pPr>
      <w:r>
        <w:rPr>
          <w:rFonts w:eastAsia="Arial" w:cs="Arial" w:ascii="Arial" w:hAnsi="Arial"/>
          <w:sz w:val="22"/>
          <w:szCs w:val="22"/>
        </w:rPr>
      </w:r>
    </w:p>
    <w:sectPr>
      <w:headerReference w:type="default" r:id="rId2"/>
      <w:type w:val="nextPage"/>
      <w:pgSz w:w="12240" w:h="15840"/>
      <w:pgMar w:left="1800" w:right="1800" w:gutter="0" w:header="72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Univers (WN)">
    <w:charset w:val="01"/>
    <w:family w:val="swiss"/>
    <w:pitch w:val="default"/>
  </w:font>
  <w:font w:name="Univers">
    <w:charset w:val="01"/>
    <w:family w:val="swiss"/>
    <w:pitch w:val="variable"/>
  </w:font>
  <w:font w:name="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MWB; Draft; 6-21-00</w:t>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1">
    <w:name w:val="1.1"/>
    <w:basedOn w:val="Normal"/>
    <w:qFormat/>
    <w:pPr>
      <w:tabs>
        <w:tab w:val="clear" w:pos="720"/>
        <w:tab w:val="left" w:pos="450" w:leader="none"/>
        <w:tab w:val="left" w:pos="4680" w:leader="none"/>
        <w:tab w:val="left" w:pos="6480" w:leader="none"/>
      </w:tabs>
      <w:spacing w:lineRule="atLeast" w:line="240"/>
      <w:ind w:hanging="0" w:start="432" w:end="0"/>
    </w:pPr>
    <w:rPr>
      <w:rFonts w:ascii="Univers (WN)" w:hAnsi="Univers (WN)" w:eastAsia="Univers (WN)" w:cs="Univers (WN)"/>
    </w:rPr>
  </w:style>
  <w:style w:type="paragraph" w:styleId="111or11a">
    <w:name w:val="1.1.1 or 1.1(a)"/>
    <w:basedOn w:val="11"/>
    <w:qFormat/>
    <w:pPr>
      <w:ind w:hanging="0" w:start="864"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pPr>
    <w:rPr>
      <w:rFonts w:ascii="Univers" w:hAnsi="Univers" w:eastAsia="Univers" w:cs="Univers"/>
      <w:sz w:val="18"/>
      <w:szCs w:val="18"/>
    </w:rPr>
  </w:style>
  <w:style w:type="paragraph" w:styleId="Header">
    <w:name w:val="header"/>
    <w:basedOn w:val="Normal"/>
    <w:pPr>
      <w:widowControl w:val="false"/>
      <w:tabs>
        <w:tab w:val="clear" w:pos="720"/>
        <w:tab w:val="center" w:pos="4320" w:leader="none"/>
        <w:tab w:val="right" w:pos="8640" w:leader="none"/>
      </w:tabs>
    </w:pPr>
    <w:rPr>
      <w:rFonts w:ascii="Univers" w:hAnsi="Univers" w:eastAsia="Univers" w:cs="Univers"/>
    </w:rPr>
  </w:style>
  <w:style w:type="paragraph" w:styleId="PREAMBLECONCLUDINGPARAGRAPH">
    <w:name w:val="PREAMBLE &amp; CONCLUDING PARAGRAPH"/>
    <w:basedOn w:val="Normal"/>
    <w:qFormat/>
    <w:pPr>
      <w:widowControl w:val="false"/>
      <w:tabs>
        <w:tab w:val="clear" w:pos="720"/>
        <w:tab w:val="left" w:pos="547" w:leader="none"/>
        <w:tab w:val="left" w:pos="1195" w:leader="none"/>
        <w:tab w:val="left" w:pos="1800" w:leader="none"/>
        <w:tab w:val="left" w:pos="4680" w:leader="none"/>
      </w:tabs>
      <w:ind w:firstLine="1008" w:start="0" w:end="0"/>
    </w:pPr>
    <w:rPr>
      <w:rFonts w:ascii="Univers" w:hAnsi="Univers" w:eastAsia="Univers" w:cs="Univer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2000-09-27T10:53:00Z</dcterms:created>
  <dc:creator>Mark W. Brooks</dc:creator>
  <dc:description/>
  <dc:language>en-CA</dc:language>
  <cp:lastModifiedBy>Employee of</cp:lastModifiedBy>
  <cp:lastPrinted>2000-06-21T14:34:00Z</cp:lastPrinted>
  <dcterms:modified xsi:type="dcterms:W3CDTF">2000-09-27T10:53:00Z</dcterms:modified>
  <cp:revision>2</cp:revision>
  <dc:subject/>
  <dc:title>&lt;&lt;Date&gt;&gt;</dc:title>
</cp:coreProperties>
</file>