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MOPS SUMMARY – 10/26/01</w:t>
      </w:r>
    </w:p>
    <w:p>
      <w:pPr>
        <w:pStyle w:val="Normal"/>
        <w:rPr/>
      </w:pPr>
      <w:r>
        <w:rPr/>
      </w:r>
    </w:p>
    <w:p>
      <w:pPr>
        <w:pStyle w:val="Normal"/>
        <w:rPr/>
      </w:pPr>
      <w:r>
        <w:rPr/>
      </w:r>
    </w:p>
    <w:p>
      <w:pPr>
        <w:pStyle w:val="Normal"/>
        <w:rPr/>
      </w:pPr>
      <w:r>
        <w:rPr/>
        <w:t>Below is a synopsis of a proposed resolution of all remaining open issues.  We have been negotiating these issues as a package with WES over the last two weeks:</w:t>
      </w:r>
    </w:p>
    <w:p>
      <w:pPr>
        <w:pStyle w:val="Normal"/>
        <w:rPr/>
      </w:pPr>
      <w:r>
        <w:rPr/>
      </w:r>
    </w:p>
    <w:p>
      <w:pPr>
        <w:pStyle w:val="Normal"/>
        <w:numPr>
          <w:ilvl w:val="0"/>
          <w:numId w:val="3"/>
        </w:numPr>
        <w:rPr/>
      </w:pPr>
      <w:r>
        <w:rPr>
          <w:b/>
          <w:bCs/>
        </w:rPr>
        <w:t>Total purchase price remains $13 million</w:t>
      </w:r>
      <w:r>
        <w:rPr/>
        <w:t xml:space="preserve"> – there is no purchase price adjustment related to a delayed closing - a material benefit to us given the FERC uncertainties.</w:t>
      </w:r>
    </w:p>
    <w:p>
      <w:pPr>
        <w:pStyle w:val="Normal"/>
        <w:rPr/>
      </w:pPr>
      <w:r>
        <w:rPr/>
      </w:r>
    </w:p>
    <w:p>
      <w:pPr>
        <w:pStyle w:val="Normal"/>
        <w:numPr>
          <w:ilvl w:val="0"/>
          <w:numId w:val="3"/>
        </w:numPr>
        <w:rPr/>
      </w:pPr>
      <w:r>
        <w:rPr>
          <w:b/>
          <w:bCs/>
        </w:rPr>
        <w:t>“</w:t>
      </w:r>
      <w:r>
        <w:rPr>
          <w:b/>
          <w:bCs/>
        </w:rPr>
        <w:t>Hold-back”</w:t>
      </w:r>
      <w:r>
        <w:rPr/>
        <w:t xml:space="preserve"> - $2.5 million of the purchase price would be withheld until we have completed removal of specified equipment from the 686 platform.  Work would be scheduled next spring during favorable weather.</w:t>
      </w:r>
    </w:p>
    <w:p>
      <w:pPr>
        <w:pStyle w:val="Normal"/>
        <w:rPr/>
      </w:pPr>
      <w:r>
        <w:rPr/>
      </w:r>
    </w:p>
    <w:p>
      <w:pPr>
        <w:pStyle w:val="Normal"/>
        <w:numPr>
          <w:ilvl w:val="0"/>
          <w:numId w:val="3"/>
        </w:numPr>
        <w:rPr>
          <w:rFonts w:cs="Times New Roman"/>
        </w:rPr>
      </w:pPr>
      <w:r>
        <w:rPr>
          <w:b/>
          <w:bCs/>
        </w:rPr>
        <w:t>“</w:t>
      </w:r>
      <w:r>
        <w:rPr>
          <w:b/>
          <w:bCs/>
        </w:rPr>
        <w:t>Regulatory out” provision</w:t>
      </w:r>
      <w:r>
        <w:rPr/>
        <w:t xml:space="preserve"> –</w:t>
      </w:r>
      <w:r>
        <w:rPr>
          <w:rFonts w:cs="Times New Roman"/>
        </w:rPr>
        <w:t xml:space="preserve"> WES initially asked for an "out" if any FERC action undermined the value of the transaction for WES.  The agreed-upon language is much narrower and excuses WNG from closing only if FERC (1) fails to approve the purchase by and transfer of the assets to WES, including requested accounting and tax treatment, (2) interferes with WES's ability to operate the assets or (3) imposes rate regulation on the non-jurisdictional portion of the assets.</w:t>
      </w:r>
    </w:p>
    <w:p>
      <w:pPr>
        <w:pStyle w:val="Normal"/>
        <w:rPr>
          <w:rFonts w:cs="Times New Roman"/>
        </w:rPr>
      </w:pPr>
      <w:r>
        <w:rPr>
          <w:rFonts w:cs="Times New Roman"/>
        </w:rPr>
      </w:r>
    </w:p>
    <w:p>
      <w:pPr>
        <w:pStyle w:val="Normal"/>
        <w:numPr>
          <w:ilvl w:val="0"/>
          <w:numId w:val="3"/>
        </w:numPr>
        <w:rPr>
          <w:rFonts w:cs="Times New Roman"/>
        </w:rPr>
      </w:pPr>
      <w:r>
        <w:rPr>
          <w:b/>
          <w:bCs/>
        </w:rPr>
        <w:t>“</w:t>
      </w:r>
      <w:r>
        <w:rPr>
          <w:b/>
          <w:bCs/>
        </w:rPr>
        <w:t>Break-up” fee related to El Paso ROFR</w:t>
      </w:r>
      <w:r>
        <w:rPr/>
        <w:t xml:space="preserve"> – we would pay $300,000 to WES in the event we terminate the PSA due to El Paso exercising their ROFR.  This is no longer an issue since we have received a signed waiver from El Paso.</w:t>
      </w:r>
      <w:r>
        <w:rPr>
          <w:rFonts w:cs="Times New Roman"/>
        </w:rPr>
        <w:t xml:space="preserve"> </w:t>
      </w:r>
    </w:p>
    <w:p>
      <w:pPr>
        <w:pStyle w:val="Normal"/>
        <w:rPr>
          <w:rFonts w:cs="Times New Roman"/>
        </w:rPr>
      </w:pPr>
      <w:r>
        <w:rPr>
          <w:rFonts w:cs="Times New Roman"/>
        </w:rPr>
      </w:r>
    </w:p>
    <w:p>
      <w:pPr>
        <w:pStyle w:val="Normal"/>
        <w:numPr>
          <w:ilvl w:val="0"/>
          <w:numId w:val="3"/>
        </w:numPr>
        <w:rPr/>
      </w:pPr>
      <w:r>
        <w:rPr>
          <w:b/>
          <w:bCs/>
        </w:rPr>
        <w:t>Material adverse effect provision</w:t>
      </w:r>
      <w:r>
        <w:rPr/>
        <w:t xml:space="preserve"> – there will be NO provision for termination by WFS due to the occurrence of a “material adverse effect”.  We had characterized this as a “deal breaker” since it would essentially give WES a no-cost option to purchase.  </w:t>
      </w:r>
    </w:p>
    <w:p>
      <w:pPr>
        <w:pStyle w:val="Normal"/>
        <w:rPr/>
      </w:pPr>
      <w:r>
        <w:rPr/>
      </w:r>
    </w:p>
    <w:p>
      <w:pPr>
        <w:pStyle w:val="Normal"/>
        <w:numPr>
          <w:ilvl w:val="0"/>
          <w:numId w:val="3"/>
        </w:numPr>
        <w:rPr/>
      </w:pPr>
      <w:r>
        <w:rPr>
          <w:b/>
          <w:bCs/>
        </w:rPr>
        <w:t>Indemnity “cap”</w:t>
      </w:r>
      <w:r>
        <w:rPr/>
        <w:t xml:space="preserve"> – our post closing liabilities will be capped at 100% of the purchase price.  WES considers this a “deal killer”.  [Note: We could attempt to negotiate this downward, but WES would, at a minimum, aggressively re-trade other issues.]</w:t>
      </w:r>
    </w:p>
    <w:p>
      <w:pPr>
        <w:pStyle w:val="Normal"/>
        <w:rPr/>
      </w:pPr>
      <w:r>
        <w:rPr/>
      </w:r>
    </w:p>
    <w:p>
      <w:pPr>
        <w:pStyle w:val="Normal"/>
        <w:numPr>
          <w:ilvl w:val="0"/>
          <w:numId w:val="3"/>
        </w:numPr>
        <w:rPr/>
      </w:pPr>
      <w:r>
        <w:rPr>
          <w:b/>
          <w:bCs/>
        </w:rPr>
        <w:t xml:space="preserve">survival of reps and warranties </w:t>
      </w:r>
      <w:r>
        <w:rPr/>
        <w:t>– 3 years from closing</w:t>
      </w:r>
    </w:p>
    <w:p>
      <w:pPr>
        <w:pStyle w:val="Normal"/>
        <w:rPr/>
      </w:pPr>
      <w:r>
        <w:rPr/>
      </w:r>
    </w:p>
    <w:p>
      <w:pPr>
        <w:pStyle w:val="Normal"/>
        <w:numPr>
          <w:ilvl w:val="0"/>
          <w:numId w:val="3"/>
        </w:numPr>
        <w:rPr/>
      </w:pPr>
      <w:r>
        <w:rPr>
          <w:b/>
          <w:bCs/>
        </w:rPr>
        <w:t>“</w:t>
      </w:r>
      <w:r>
        <w:rPr>
          <w:b/>
          <w:bCs/>
        </w:rPr>
        <w:t>overall basket” of $200,000</w:t>
      </w:r>
      <w:r>
        <w:rPr/>
        <w:t xml:space="preserve"> </w:t>
      </w:r>
    </w:p>
    <w:p>
      <w:pPr>
        <w:pStyle w:val="Normal"/>
        <w:rPr/>
      </w:pPr>
      <w:r>
        <w:rPr/>
      </w:r>
    </w:p>
    <w:p>
      <w:pPr>
        <w:pStyle w:val="Heading1"/>
        <w:ind w:hanging="0" w:start="0"/>
        <w:rPr/>
      </w:pPr>
      <w:r>
        <w:rPr/>
        <w:t>Other minor issues that have been recently negotiated</w:t>
      </w:r>
    </w:p>
    <w:p>
      <w:pPr>
        <w:pStyle w:val="Normal"/>
        <w:rPr/>
      </w:pPr>
      <w:r>
        <w:rPr/>
      </w:r>
    </w:p>
    <w:p>
      <w:pPr>
        <w:pStyle w:val="Normal"/>
        <w:numPr>
          <w:ilvl w:val="0"/>
          <w:numId w:val="3"/>
        </w:numPr>
        <w:rPr/>
      </w:pPr>
      <w:r>
        <w:rPr>
          <w:b/>
          <w:bCs/>
        </w:rPr>
        <w:t>mutual agreement on specific actions to cure title defects</w:t>
      </w:r>
      <w:r>
        <w:rPr/>
        <w:t xml:space="preserve"> </w:t>
      </w:r>
    </w:p>
    <w:p>
      <w:pPr>
        <w:pStyle w:val="Normal"/>
        <w:rPr/>
      </w:pPr>
      <w:r>
        <w:rPr/>
      </w:r>
    </w:p>
    <w:p>
      <w:pPr>
        <w:pStyle w:val="Normal"/>
        <w:numPr>
          <w:ilvl w:val="0"/>
          <w:numId w:val="3"/>
        </w:numPr>
        <w:rPr/>
      </w:pPr>
      <w:r>
        <w:rPr>
          <w:b/>
          <w:bCs/>
        </w:rPr>
        <w:t>“</w:t>
      </w:r>
      <w:r>
        <w:rPr>
          <w:b/>
          <w:bCs/>
        </w:rPr>
        <w:t>closing into breach” issue</w:t>
      </w:r>
      <w:r>
        <w:rPr/>
        <w:t xml:space="preserve">  </w:t>
      </w:r>
      <w:r>
        <w:rPr>
          <w:b/>
          <w:bCs/>
        </w:rPr>
        <w:t xml:space="preserve"> </w:t>
      </w:r>
      <w:r>
        <w:rPr/>
        <w:t xml:space="preserve"> </w:t>
      </w:r>
    </w:p>
    <w:p>
      <w:pPr>
        <w:pStyle w:val="Normal"/>
        <w:rPr/>
      </w:pPr>
      <w:r>
        <w:rPr/>
      </w:r>
    </w:p>
    <w:p>
      <w:pPr>
        <w:pStyle w:val="Normal"/>
        <w:numPr>
          <w:ilvl w:val="0"/>
          <w:numId w:val="3"/>
        </w:numPr>
        <w:rPr/>
      </w:pPr>
      <w:r>
        <w:rPr>
          <w:b/>
          <w:bCs/>
        </w:rPr>
        <w:t>cost of eliminating volume imbalances at close to be “carved out” of liability cap</w:t>
      </w:r>
      <w:r>
        <w:rPr/>
        <w:t xml:space="preserve"> </w:t>
      </w:r>
    </w:p>
    <w:p>
      <w:pPr>
        <w:pStyle w:val="Normal"/>
        <w:rPr/>
      </w:pPr>
      <w:r>
        <w:rPr/>
      </w:r>
    </w:p>
    <w:p>
      <w:pPr>
        <w:pStyle w:val="Normal"/>
        <w:numPr>
          <w:ilvl w:val="0"/>
          <w:numId w:val="3"/>
        </w:numPr>
        <w:rPr/>
      </w:pPr>
      <w:r>
        <w:rPr>
          <w:b/>
          <w:bCs/>
        </w:rPr>
        <w:t>provide access to EOG-758 platform at “reasonable or no cost”</w:t>
      </w:r>
    </w:p>
    <w:p>
      <w:pPr>
        <w:pStyle w:val="Normal"/>
        <w:rPr/>
      </w:pPr>
      <w:r>
        <w:rPr>
          <w:b/>
          <w:bCs/>
        </w:rPr>
        <w:t>Summary of potential costs [$M] associated with WES transaction</w:t>
      </w:r>
      <w:r>
        <w:rPr/>
        <w:t>:</w:t>
      </w:r>
    </w:p>
    <w:p>
      <w:pPr>
        <w:pStyle w:val="Normal"/>
        <w:rPr/>
      </w:pPr>
      <w:r>
        <w:rPr/>
      </w:r>
    </w:p>
    <w:p>
      <w:pPr>
        <w:pStyle w:val="Normal"/>
        <w:rPr/>
      </w:pPr>
      <w:r>
        <w:rPr/>
      </w:r>
    </w:p>
    <w:p>
      <w:pPr>
        <w:pStyle w:val="Normal"/>
        <w:rPr/>
      </w:pPr>
      <w:r>
        <w:rPr/>
        <w:tab/>
        <w:tab/>
        <w:tab/>
        <w:tab/>
        <w:tab/>
        <w:tab/>
        <w:t>“Most likely case”</w:t>
        <w:tab/>
        <w:tab/>
        <w:t>“Worst case”</w:t>
      </w:r>
    </w:p>
    <w:p>
      <w:pPr>
        <w:pStyle w:val="Normal"/>
        <w:rPr/>
      </w:pPr>
      <w:r>
        <w:rPr/>
      </w:r>
    </w:p>
    <w:p>
      <w:pPr>
        <w:pStyle w:val="Normal"/>
        <w:rPr/>
      </w:pPr>
      <w:r>
        <w:rPr>
          <w:u w:val="single"/>
        </w:rPr>
        <w:t>Operations Issues</w:t>
      </w:r>
      <w:r>
        <w:rPr/>
        <w:t>:</w:t>
      </w:r>
    </w:p>
    <w:p>
      <w:pPr>
        <w:pStyle w:val="Normal"/>
        <w:rPr/>
      </w:pPr>
      <w:r>
        <w:rPr/>
      </w:r>
    </w:p>
    <w:p>
      <w:pPr>
        <w:pStyle w:val="Normal"/>
        <w:rPr/>
      </w:pPr>
      <w:r>
        <w:rPr/>
        <w:t>Restore pigging capability (Note 1)</w:t>
        <w:tab/>
        <w:tab/>
        <w:t xml:space="preserve"> </w:t>
        <w:tab/>
        <w:t xml:space="preserve">  285</w:t>
        <w:tab/>
        <w:tab/>
        <w:tab/>
        <w:tab/>
        <w:t xml:space="preserve">  350</w:t>
      </w:r>
    </w:p>
    <w:p>
      <w:pPr>
        <w:pStyle w:val="Normal"/>
        <w:rPr/>
      </w:pPr>
      <w:r>
        <w:rPr/>
      </w:r>
    </w:p>
    <w:p>
      <w:pPr>
        <w:pStyle w:val="Normal"/>
        <w:rPr/>
      </w:pPr>
      <w:r>
        <w:rPr/>
        <w:t xml:space="preserve">Remove equipment from 686 (Note 2) </w:t>
        <w:tab/>
        <w:tab/>
        <w:t>1831</w:t>
        <w:tab/>
        <w:tab/>
        <w:tab/>
        <w:tab/>
        <w:t>2750</w:t>
      </w:r>
    </w:p>
    <w:p>
      <w:pPr>
        <w:pStyle w:val="Normal"/>
        <w:rPr/>
      </w:pPr>
      <w:r>
        <w:rPr/>
      </w:r>
    </w:p>
    <w:p>
      <w:pPr>
        <w:pStyle w:val="Normal"/>
        <w:rPr>
          <w:u w:val="single"/>
        </w:rPr>
      </w:pPr>
      <w:r>
        <w:rPr>
          <w:u w:val="single"/>
        </w:rPr>
      </w:r>
    </w:p>
    <w:p>
      <w:pPr>
        <w:pStyle w:val="Normal"/>
        <w:rPr>
          <w:u w:val="single"/>
        </w:rPr>
      </w:pPr>
      <w:r>
        <w:rPr>
          <w:u w:val="single"/>
        </w:rPr>
        <w:t>Environmental Issues:</w:t>
      </w:r>
    </w:p>
    <w:p>
      <w:pPr>
        <w:pStyle w:val="Normal"/>
        <w:rPr>
          <w:u w:val="single"/>
        </w:rPr>
      </w:pPr>
      <w:r>
        <w:rPr>
          <w:u w:val="single"/>
        </w:rPr>
      </w:r>
    </w:p>
    <w:p>
      <w:pPr>
        <w:pStyle w:val="Normal"/>
        <w:rPr/>
      </w:pPr>
      <w:r>
        <w:rPr/>
        <w:t>Remediate surface hydrocarbons, if any</w:t>
        <w:tab/>
        <w:t xml:space="preserve">  </w:t>
        <w:tab/>
        <w:t xml:space="preserve"> 200</w:t>
        <w:tab/>
        <w:tab/>
        <w:tab/>
        <w:tab/>
        <w:t xml:space="preserve">  500</w:t>
      </w:r>
    </w:p>
    <w:p>
      <w:pPr>
        <w:pStyle w:val="Normal"/>
        <w:rPr/>
      </w:pPr>
      <w:r>
        <w:rPr/>
      </w:r>
    </w:p>
    <w:p>
      <w:pPr>
        <w:pStyle w:val="Normal"/>
        <w:rPr/>
      </w:pPr>
      <w:r>
        <w:rPr/>
        <w:t>Additional expense, if ground water</w:t>
        <w:tab/>
        <w:tab/>
        <w:tab/>
        <w:t xml:space="preserve"> NA</w:t>
        <w:tab/>
        <w:tab/>
        <w:tab/>
        <w:tab/>
        <w:t>2000</w:t>
      </w:r>
    </w:p>
    <w:p>
      <w:pPr>
        <w:pStyle w:val="Normal"/>
        <w:ind w:firstLine="720" w:end="0"/>
        <w:rPr/>
      </w:pPr>
      <w:r>
        <w:rPr/>
        <w:t>contamination is present (unlikely)</w:t>
      </w:r>
    </w:p>
    <w:p>
      <w:pPr>
        <w:pStyle w:val="Normal"/>
        <w:rPr/>
      </w:pPr>
      <w:r>
        <w:rPr/>
      </w:r>
    </w:p>
    <w:p>
      <w:pPr>
        <w:pStyle w:val="Normal"/>
        <w:rPr/>
      </w:pPr>
      <w:r>
        <w:rPr/>
      </w:r>
    </w:p>
    <w:p>
      <w:pPr>
        <w:pStyle w:val="Normal"/>
        <w:rPr>
          <w:u w:val="single"/>
        </w:rPr>
      </w:pPr>
      <w:r>
        <w:rPr>
          <w:u w:val="single"/>
        </w:rPr>
        <w:t>Right-of-way / title Issues:</w:t>
      </w:r>
    </w:p>
    <w:p>
      <w:pPr>
        <w:pStyle w:val="Normal"/>
        <w:rPr>
          <w:u w:val="single"/>
        </w:rPr>
      </w:pPr>
      <w:r>
        <w:rPr>
          <w:u w:val="single"/>
        </w:rPr>
      </w:r>
    </w:p>
    <w:p>
      <w:pPr>
        <w:pStyle w:val="Normal"/>
        <w:rPr/>
      </w:pPr>
      <w:r>
        <w:rPr/>
        <w:t>No known problems, minimal exposure</w:t>
        <w:tab/>
        <w:t xml:space="preserve">   </w:t>
        <w:tab/>
        <w:t xml:space="preserve">  0</w:t>
        <w:tab/>
        <w:tab/>
        <w:tab/>
        <w:tab/>
        <w:t xml:space="preserve"> 200</w:t>
      </w:r>
    </w:p>
    <w:p>
      <w:pPr>
        <w:pStyle w:val="Normal"/>
        <w:rPr/>
      </w:pPr>
      <w:r>
        <w:rPr/>
      </w:r>
    </w:p>
    <w:p>
      <w:pPr>
        <w:pStyle w:val="Normal"/>
        <w:rPr/>
      </w:pPr>
      <w:r>
        <w:rPr/>
      </w:r>
    </w:p>
    <w:p>
      <w:pPr>
        <w:pStyle w:val="Normal"/>
        <w:ind w:firstLine="720" w:start="720" w:end="0"/>
        <w:rPr/>
      </w:pPr>
      <w:r>
        <w:rPr>
          <w:b/>
          <w:bCs/>
        </w:rPr>
        <w:t>TOTAL</w:t>
      </w:r>
      <w:r>
        <w:rPr/>
        <w:tab/>
        <w:tab/>
        <w:tab/>
        <w:t xml:space="preserve">     $ 2316            </w:t>
        <w:tab/>
        <w:t xml:space="preserve">                    $ 5800</w:t>
      </w:r>
    </w:p>
    <w:p>
      <w:pPr>
        <w:pStyle w:val="Normal"/>
        <w:ind w:firstLine="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t>NOTES:</w:t>
      </w:r>
    </w:p>
    <w:p>
      <w:pPr>
        <w:pStyle w:val="Normal"/>
        <w:numPr>
          <w:ilvl w:val="0"/>
          <w:numId w:val="2"/>
        </w:numPr>
        <w:rPr/>
      </w:pPr>
      <w:r>
        <w:rPr/>
        <w:t>Pigging has not been done for 4-5 years but should not present major unexpected problems.  A “stuck pig” is highly unlikely, but if it occurred, there would be a material cost for repairs.  These costs have not been factored in to the worst case.</w:t>
      </w:r>
    </w:p>
    <w:p>
      <w:pPr>
        <w:pStyle w:val="Normal"/>
        <w:numPr>
          <w:ilvl w:val="0"/>
          <w:numId w:val="2"/>
        </w:numPr>
        <w:rPr/>
      </w:pPr>
      <w:r>
        <w:rPr/>
        <w:t>Uncertainties associated with the worst case equipment removal relate to the affect of inclement weather, and the remote possibility that a derrick barge could be needed to lift off the quarters.</w:t>
      </w:r>
    </w:p>
    <w:p>
      <w:pPr>
        <w:pStyle w:val="Normal"/>
        <w:numPr>
          <w:ilvl w:val="0"/>
          <w:numId w:val="2"/>
        </w:numPr>
        <w:rPr/>
      </w:pPr>
      <w:r>
        <w:rPr/>
        <w:t>The worst case scenarios are each judged “highly unlikely” by the respective support functions.  All of the worst case scenarios occurring simultaneously is even more remote.</w:t>
      </w:r>
    </w:p>
    <w:p>
      <w:pPr>
        <w:pStyle w:val="Normal"/>
        <w:ind w:hanging="720" w:start="720" w:end="0"/>
        <w:rPr/>
      </w:pPr>
      <w:r>
        <w:rPr/>
      </w:r>
    </w:p>
    <w:p>
      <w:pPr>
        <w:pStyle w:val="Normal"/>
        <w:ind w:hanging="720" w:start="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i/>
      <w:iCs/>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Times New Roman" w:hAnsi="Times New Roman" w:eastAsia="Times New Roman" w:cs="Times New Roman"/>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2001-10-26T11:16:00Z</dcterms:created>
  <dc:creator>John N. Goodpasture</dc:creator>
  <dc:description/>
  <dc:language>en-CA</dc:language>
  <cp:lastModifiedBy>jgoodpa</cp:lastModifiedBy>
  <cp:lastPrinted>2001-10-26T11:11:00Z</cp:lastPrinted>
  <dcterms:modified xsi:type="dcterms:W3CDTF">2001-10-26T13:42:00Z</dcterms:modified>
  <cp:revision>7</cp:revision>
  <dc:subject/>
  <dc:title>We now have a final proposal from Williams Field Services – Gulf Coast (WFS) on each of the remaining open issues as follows:</dc:title>
</cp:coreProperties>
</file>