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footer2.xml.rels" ContentType="application/vnd.openxmlformats-package.relationships+xml"/>
  <Override PartName="/word/_rels/document.xml.rels" ContentType="application/vnd.openxmlformats-package.relationships+xml"/>
  <Override PartName="/word/_rels/footer1.xml.rels" ContentType="application/vnd.openxmlformats-package.relationships+xml"/>
  <Override PartName="/word/embeddings/oleObject1.bin" ContentType="application/vnd.openxmlformats-officedocument.oleObject"/>
  <Override PartName="/word/embeddings/oleObject2.bin" ContentType="application/vnd.openxmlformats-officedocument.oleObject"/>
  <Override PartName="/word/media/image1.wmf" ContentType="image/x-wmf"/>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xsstitle"/>
        <w:rPr>
          <w:sz w:val="40"/>
        </w:rPr>
      </w:pPr>
      <w:r>
        <w:rPr>
          <w:sz w:val="40"/>
        </w:rPr>
        <w:t>Energy Scenarios 2001:</w:t>
        <w:br/>
        <w:t>The Supply Crunch</w:t>
      </w:r>
      <w:r>
        <mc:AlternateContent>
          <mc:Choice Requires="wps">
            <w:drawing>
              <wp:anchor behindDoc="0" distT="0" distB="0" distL="114935" distR="114935" simplePos="0" locked="0" layoutInCell="0" allowOverlap="1" relativeHeight="3">
                <wp:simplePos x="0" y="0"/>
                <wp:positionH relativeFrom="margin">
                  <wp:posOffset>0</wp:posOffset>
                </wp:positionH>
                <wp:positionV relativeFrom="margin">
                  <wp:posOffset>0</wp:posOffset>
                </wp:positionV>
                <wp:extent cx="1555115" cy="777240"/>
                <wp:effectExtent l="0" t="0" r="0" b="0"/>
                <wp:wrapNone/>
                <wp:docPr id="1" name="Frame1"/>
                <a:graphic xmlns:a="http://schemas.openxmlformats.org/drawingml/2006/main">
                  <a:graphicData uri="http://schemas.microsoft.com/office/word/2010/wordprocessingShape">
                    <wps:wsp>
                      <wps:cNvSpPr txBox="1"/>
                      <wps:spPr>
                        <a:xfrm>
                          <a:off x="0" y="0"/>
                          <a:ext cx="1555115" cy="777240"/>
                        </a:xfrm>
                        <a:prstGeom prst="rect"/>
                        <a:solidFill>
                          <a:srgbClr val="FFFFFF">
                            <a:alpha val="0"/>
                          </a:srgbClr>
                        </a:solidFill>
                      </wps:spPr>
                      <wps:txbx>
                        <w:txbxContent>
                          <w:p>
                            <w:pPr>
                              <w:pStyle w:val="mmfigure"/>
                              <w:rPr/>
                            </w:pPr>
                            <w:bookmarkStart w:id="0" w:name="_1046602453"/>
                            <w:bookmarkEnd w:id="0"/>
                            <w:r>
                              <w:rPr/>
                              <w:object w:dxaOrig="2401" w:dyaOrig="1201">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120.05pt;height:60.05pt" filled="f" o:ole="">
                                  <v:imagedata r:id="rId3" o:title=""/>
                                </v:shape>
                                <o:OLEObject Type="Embed" ProgID="" ShapeID="ole_rId2" DrawAspect="Content" ObjectID="_1295262863" r:id="rId2"/>
                              </w:object>
                            </w:r>
                          </w:p>
                          <w:p>
                            <w:pPr>
                              <w:pStyle w:val="Normal"/>
                              <w:rPr/>
                            </w:pPr>
                            <w:r>
                              <w:rPr/>
                            </w:r>
                          </w:p>
                        </w:txbxContent>
                      </wps:txbx>
                      <wps:bodyPr anchor="t" lIns="635" tIns="635" rIns="635" bIns="635">
                        <a:noAutofit/>
                      </wps:bodyPr>
                    </wps:wsp>
                  </a:graphicData>
                </a:graphic>
              </wp:anchor>
            </w:drawing>
          </mc:Choice>
          <mc:Fallback>
            <w:pict>
              <v:rect fillcolor="#FFFFFF" style="position:absolute;rotation:-0;width:122.45pt;height:61.2pt;mso-wrap-distance-left:9.05pt;mso-wrap-distance-right:9.05pt;mso-wrap-distance-top:0pt;mso-wrap-distance-bottom:0pt;margin-top:0pt;mso-position-vertical-relative:margin;margin-left:0pt;mso-position-horizontal-relative:margin">
                <v:fill opacity="0f"/>
                <v:textbox inset="0.000694444444444445in,0.000694444444444445in,0.000694444444444445in,0.000694444444444445in">
                  <w:txbxContent>
                    <w:p>
                      <w:pPr>
                        <w:pStyle w:val="mmfigure"/>
                        <w:rPr/>
                      </w:pPr>
                      <w:bookmarkStart w:id="1" w:name="_1046602453"/>
                      <w:bookmarkEnd w:id="1"/>
                      <w:r>
                        <w:rPr/>
                        <w:object w:dxaOrig="2401" w:dyaOrig="1201">
                          <v:shapetype id="_x0000_tole_rId4" coordsize="21600,21600" o:spt="ole_rId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 type="_x0000_tole_rId4" style="width:120.05pt;height:60.05pt" filled="f" o:ole="">
                            <v:imagedata r:id="rId5" o:title=""/>
                          </v:shape>
                          <o:OLEObject Type="Embed" ProgID="" ShapeID="ole_rId4" DrawAspect="Content" ObjectID="_1162035390" r:id="rId4"/>
                        </w:object>
                      </w:r>
                    </w:p>
                    <w:p>
                      <w:pPr>
                        <w:pStyle w:val="Normal"/>
                        <w:rPr/>
                      </w:pPr>
                      <w:r>
                        <w:rPr/>
                      </w:r>
                    </w:p>
                  </w:txbxContent>
                </v:textbox>
                <w10:wrap type="none"/>
              </v:rect>
            </w:pict>
          </mc:Fallback>
        </mc:AlternateContent>
      </w:r>
    </w:p>
    <w:p>
      <w:pPr>
        <w:pStyle w:val="xsssubtitle"/>
        <w:spacing w:before="0" w:after="0"/>
        <w:rPr/>
      </w:pPr>
      <w:r>
        <w:rPr/>
        <w:t>A Multi-client Study</w:t>
      </w:r>
    </w:p>
    <w:p>
      <w:pPr>
        <w:pStyle w:val="boldline"/>
        <w:rPr/>
      </w:pPr>
      <w:r>
        <w:rPr/>
        <w:tab/>
      </w:r>
    </w:p>
    <w:p>
      <w:pPr>
        <w:pStyle w:val="Normal"/>
        <w:spacing w:lineRule="auto" w:line="264"/>
        <w:jc w:val="both"/>
        <w:rPr>
          <w:i/>
          <w:i/>
          <w:sz w:val="22"/>
        </w:rPr>
      </w:pPr>
      <w:r>
        <w:rPr>
          <w:i/>
          <w:sz w:val="22"/>
        </w:rPr>
        <w:t>Natural gas prices have exceeded $5/mcf for a year.  Crude oil prices reached $35/bbl.  Central Appalachian coal prices cross the $40/ton barrier.  California experiences rolling blackouts.  What next?  Is the crisis temporary or a harbinger of more to come?</w:t>
      </w:r>
      <w:r>
        <mc:AlternateContent>
          <mc:Choice Requires="wps">
            <w:drawing>
              <wp:anchor behindDoc="0" distT="228600" distB="0" distL="0" distR="0" simplePos="0" locked="0" layoutInCell="0" allowOverlap="1" relativeHeight="2">
                <wp:simplePos x="0" y="0"/>
                <wp:positionH relativeFrom="margin">
                  <wp:posOffset>0</wp:posOffset>
                </wp:positionH>
                <wp:positionV relativeFrom="page">
                  <wp:align>bottom</wp:align>
                </wp:positionV>
                <wp:extent cx="3044825" cy="274320"/>
                <wp:effectExtent l="0" t="0" r="0" b="0"/>
                <wp:wrapTopAndBottom/>
                <wp:docPr id="2" name="Frame2"/>
                <a:graphic xmlns:a="http://schemas.openxmlformats.org/drawingml/2006/main">
                  <a:graphicData uri="http://schemas.microsoft.com/office/word/2010/wordprocessingShape">
                    <wps:wsp>
                      <wps:cNvSpPr txBox="1"/>
                      <wps:spPr>
                        <a:xfrm>
                          <a:off x="0" y="0"/>
                          <a:ext cx="3044825" cy="274320"/>
                        </a:xfrm>
                        <a:prstGeom prst="rect"/>
                        <a:solidFill>
                          <a:srgbClr val="FFFFFF">
                            <a:alpha val="0"/>
                          </a:srgbClr>
                        </a:solidFill>
                      </wps:spPr>
                      <wps:txbx>
                        <w:txbxContent>
                          <w:p>
                            <w:pPr>
                              <w:pStyle w:val="xsscopyright"/>
                              <w:rPr/>
                            </w:pPr>
                            <w:r>
                              <w:rPr/>
                            </w:r>
                          </w:p>
                        </w:txbxContent>
                      </wps:txbx>
                      <wps:bodyPr anchor="t" lIns="0" tIns="0" rIns="0" bIns="0">
                        <a:noAutofit/>
                      </wps:bodyPr>
                    </wps:wsp>
                  </a:graphicData>
                </a:graphic>
              </wp:anchor>
            </w:drawing>
          </mc:Choice>
          <mc:Fallback>
            <w:pict>
              <v:rect fillcolor="#FFFFFF" style="position:absolute;rotation:-0;width:239.75pt;height:21.6pt;mso-wrap-distance-left:0pt;mso-wrap-distance-right:0pt;mso-wrap-distance-top:18pt;mso-wrap-distance-bottom:0pt;margin-top:770.4pt;mso-position-vertical:bottom;mso-position-vertical-relative:page;margin-left:0pt;mso-position-horizontal-relative:margin">
                <v:fill opacity="0f"/>
                <v:textbox inset="0in,0in,0in,0in">
                  <w:txbxContent>
                    <w:p>
                      <w:pPr>
                        <w:pStyle w:val="xsscopyright"/>
                        <w:rPr/>
                      </w:pPr>
                      <w:r>
                        <w:rPr/>
                      </w:r>
                    </w:p>
                  </w:txbxContent>
                </v:textbox>
                <w10:wrap type="topAndBottom"/>
              </v:rect>
            </w:pict>
          </mc:Fallback>
        </mc:AlternateContent>
      </w:r>
    </w:p>
    <w:p>
      <w:pPr>
        <w:pStyle w:val="Normal"/>
        <w:spacing w:lineRule="auto" w:line="264"/>
        <w:jc w:val="both"/>
        <w:rPr>
          <w:i/>
          <w:i/>
          <w:sz w:val="22"/>
        </w:rPr>
      </w:pPr>
      <w:r>
        <w:rPr>
          <w:i/>
          <w:sz w:val="22"/>
        </w:rPr>
      </w:r>
    </w:p>
    <w:p>
      <w:pPr>
        <w:pStyle w:val="Normal"/>
        <w:spacing w:lineRule="auto" w:line="264"/>
        <w:jc w:val="both"/>
        <w:rPr/>
      </w:pPr>
      <w:r>
        <w:rPr>
          <w:sz w:val="22"/>
        </w:rPr>
        <w:t xml:space="preserve">After decades of surplus energy supplies, the US economy has been buffeted by tightening supplies on every front.  How might the economy, resources, technology and regulation play out?  </w:t>
      </w:r>
      <w:r>
        <w:rPr>
          <w:b/>
          <w:i/>
          <w:sz w:val="22"/>
        </w:rPr>
        <w:t>Energy Scenarios 2001</w:t>
      </w:r>
      <w:r>
        <w:rPr>
          <w:sz w:val="22"/>
        </w:rPr>
        <w:t xml:space="preserve"> analyzes three alternative futures:</w:t>
      </w:r>
    </w:p>
    <w:p>
      <w:pPr>
        <w:pStyle w:val="Normal"/>
        <w:spacing w:lineRule="auto" w:line="264"/>
        <w:jc w:val="both"/>
        <w:rPr>
          <w:sz w:val="22"/>
        </w:rPr>
      </w:pPr>
      <w:r>
        <w:rPr>
          <w:sz w:val="22"/>
        </w:rPr>
      </w:r>
    </w:p>
    <w:p>
      <w:pPr>
        <w:pStyle w:val="subpara"/>
        <w:numPr>
          <w:ilvl w:val="0"/>
          <w:numId w:val="12"/>
        </w:numPr>
        <w:spacing w:lineRule="auto" w:line="252"/>
        <w:ind w:hanging="0" w:start="0"/>
        <w:rPr>
          <w:sz w:val="22"/>
        </w:rPr>
      </w:pPr>
      <w:r>
        <w:rPr>
          <w:b/>
          <w:sz w:val="22"/>
        </w:rPr>
        <w:t>Energy Crunch</w:t>
      </w:r>
      <w:r>
        <w:rPr>
          <w:sz w:val="22"/>
        </w:rPr>
        <w:t>:  Natural gas supply responds slowly to high prices.  Limitations on transmission capacity spike electricity prices.  Coal generation increases slowly because of environmental regulations and shortages of labor to install pollution control equipment.  Nuclear generating units suffer unanticipated downtime and many units do not get re-licensed.  Energy markets take their toll on economic performance.</w:t>
      </w:r>
    </w:p>
    <w:p>
      <w:pPr>
        <w:pStyle w:val="subpara"/>
        <w:numPr>
          <w:ilvl w:val="0"/>
          <w:numId w:val="12"/>
        </w:numPr>
        <w:spacing w:lineRule="auto" w:line="252"/>
        <w:ind w:hanging="0" w:start="0"/>
        <w:rPr>
          <w:sz w:val="22"/>
        </w:rPr>
      </w:pPr>
      <w:r>
        <w:rPr>
          <w:b/>
          <w:sz w:val="22"/>
        </w:rPr>
        <w:t>Conventional Wisdom</w:t>
      </w:r>
      <w:r>
        <w:rPr>
          <w:sz w:val="22"/>
        </w:rPr>
        <w:t>: Natural gas supply responds moderately to high prices, coal generation grows as capacity of existing units is increased and new capacity comes on during the second half of the decade, most nuclear units are re-licensed and continue to operate a recent high rates.  Energy supplies do not inhibit the potential for economic growth.</w:t>
      </w:r>
    </w:p>
    <w:p>
      <w:pPr>
        <w:pStyle w:val="subpara"/>
        <w:numPr>
          <w:ilvl w:val="0"/>
          <w:numId w:val="12"/>
        </w:numPr>
        <w:spacing w:lineRule="auto" w:line="252"/>
        <w:ind w:hanging="0" w:start="0"/>
        <w:rPr>
          <w:sz w:val="22"/>
        </w:rPr>
      </w:pPr>
      <w:r>
        <w:rPr>
          <w:b/>
          <w:sz w:val="22"/>
        </w:rPr>
        <w:t>Energy Shakeout:</w:t>
      </w:r>
      <w:r>
        <w:rPr>
          <w:sz w:val="22"/>
        </w:rPr>
        <w:t xml:space="preserve"> High-energy prices and power shortages contribute to a substantial slow down in economic activity.  Slower growth in electricity consumption reduces the growth rate of natural gas consumption for power generation.  Natural gas intensive industries lose market to developing countries and investments in energy efficiency reduce consumption.  Most nuclear units are re-licensed and continue to operate at recent high rates. Improvements in waste heat recovery systems increase nuclear generation capacity by 6%.  As a result of early price signals, supply response is overwhelming creating a temporary bubble in gas deliverability.</w:t>
      </w:r>
    </w:p>
    <w:p>
      <w:pPr>
        <w:pStyle w:val="Normal"/>
        <w:jc w:val="both"/>
        <w:rPr>
          <w:sz w:val="22"/>
          <w:lang w:eastAsia="en-US"/>
        </w:rPr>
      </w:pPr>
      <w:r>
        <w:rPr>
          <w:sz w:val="22"/>
          <w:lang w:eastAsia="en-US"/>
        </w:rPr>
      </w:r>
    </w:p>
    <w:p>
      <w:pPr>
        <w:pStyle w:val="Normal"/>
        <w:jc w:val="center"/>
        <w:rPr>
          <w:lang w:eastAsia="en-US"/>
        </w:rPr>
      </w:pPr>
      <w:r>
        <w:rPr>
          <w:lang w:eastAsia="en-US"/>
        </w:rPr>
        <w:t>+++++++++++++++++++++</w:t>
      </w:r>
    </w:p>
    <w:p>
      <w:pPr>
        <w:pStyle w:val="Normal"/>
        <w:jc w:val="both"/>
        <w:rPr>
          <w:sz w:val="24"/>
          <w:lang w:eastAsia="en-US"/>
        </w:rPr>
      </w:pPr>
      <w:r>
        <w:rPr>
          <w:sz w:val="24"/>
          <w:lang w:eastAsia="en-US"/>
        </w:rPr>
      </w:r>
    </w:p>
    <w:p>
      <w:pPr>
        <w:pStyle w:val="Normal"/>
        <w:jc w:val="center"/>
        <w:rPr>
          <w:sz w:val="24"/>
          <w:lang w:eastAsia="en-US"/>
        </w:rPr>
      </w:pPr>
      <w:r>
        <w:rPr>
          <w:sz w:val="24"/>
          <w:lang w:eastAsia="en-US"/>
        </w:rPr>
        <w:t>This study will be of keen interest to people responsible for making decisions about North American energy and power.  Strategic planners, business developers and marketers will find WEFA’s in-depth investigation of supply issues and competitive positioning in regional markets of tremendous value.</w:t>
      </w:r>
    </w:p>
    <w:p>
      <w:pPr>
        <w:pStyle w:val="Normal"/>
        <w:jc w:val="both"/>
        <w:rPr>
          <w:sz w:val="24"/>
          <w:lang w:eastAsia="en-US"/>
        </w:rPr>
      </w:pPr>
      <w:r>
        <w:rPr>
          <w:sz w:val="24"/>
          <w:lang w:eastAsia="en-US"/>
        </w:rPr>
      </w:r>
    </w:p>
    <w:p>
      <w:pPr>
        <w:pStyle w:val="Normal"/>
        <w:jc w:val="both"/>
        <w:rPr>
          <w:sz w:val="24"/>
          <w:lang w:eastAsia="en-US"/>
        </w:rPr>
      </w:pPr>
      <w:r>
        <w:rPr>
          <w:sz w:val="24"/>
          <w:lang w:eastAsia="en-US"/>
        </w:rPr>
      </w:r>
    </w:p>
    <w:p>
      <w:pPr>
        <w:pStyle w:val="Normal"/>
        <w:jc w:val="center"/>
        <w:rPr>
          <w:sz w:val="24"/>
        </w:rPr>
      </w:pPr>
      <w:r>
        <w:rPr>
          <w:b/>
          <w:sz w:val="24"/>
          <w:lang w:eastAsia="en-US"/>
        </w:rPr>
        <w:t>Energy Scenarios 2001: The Supply Crunch</w:t>
      </w:r>
      <w:r>
        <w:rPr>
          <w:sz w:val="24"/>
          <w:lang w:eastAsia="en-US"/>
        </w:rPr>
        <w:t xml:space="preserve"> will be available May 15.  The cost of the study is $17,500.</w:t>
      </w:r>
    </w:p>
    <w:p>
      <w:pPr>
        <w:pStyle w:val="Heading"/>
        <w:rPr/>
      </w:pPr>
      <w:r>
        <w:rPr/>
        <w:t>Energy Scenarios 2001:</w:t>
        <w:br/>
        <w:t>The Supply Crunch</w:t>
      </w:r>
    </w:p>
    <w:tbl>
      <w:tblPr>
        <w:tblW w:w="10152" w:type="dxa"/>
        <w:jc w:val="center"/>
        <w:tblInd w:w="0" w:type="dxa"/>
        <w:tblLayout w:type="fixed"/>
        <w:tblCellMar>
          <w:top w:w="0" w:type="dxa"/>
          <w:start w:w="72" w:type="dxa"/>
          <w:bottom w:w="0" w:type="dxa"/>
          <w:end w:w="72" w:type="dxa"/>
        </w:tblCellMar>
      </w:tblPr>
      <w:tblGrid>
        <w:gridCol w:w="2376"/>
        <w:gridCol w:w="2592"/>
        <w:gridCol w:w="2592"/>
        <w:gridCol w:w="2592"/>
      </w:tblGrid>
      <w:tr>
        <w:trPr/>
        <w:tc>
          <w:tcPr>
            <w:tcW w:w="2376" w:type="dxa"/>
            <w:tcBorders>
              <w:top w:val="single" w:sz="4" w:space="0" w:color="000000"/>
              <w:start w:val="single" w:sz="4" w:space="0" w:color="000000"/>
              <w:bottom w:val="single" w:sz="4" w:space="0" w:color="000000"/>
              <w:end w:val="dotted" w:sz="4" w:space="0" w:color="000000"/>
            </w:tcBorders>
            <w:shd w:fill="0000FF" w:val="clear"/>
          </w:tcPr>
          <w:p>
            <w:pPr>
              <w:pStyle w:val="TABLE"/>
              <w:spacing w:before="120" w:after="120"/>
              <w:jc w:val="center"/>
              <w:rPr>
                <w:b/>
                <w:color w:val="FFFFFF"/>
                <w:sz w:val="20"/>
              </w:rPr>
            </w:pPr>
            <w:r>
              <w:rPr>
                <w:b/>
                <w:color w:val="FFFFFF"/>
                <w:sz w:val="20"/>
              </w:rPr>
              <w:t>Scenarios</w:t>
            </w:r>
          </w:p>
        </w:tc>
        <w:tc>
          <w:tcPr>
            <w:tcW w:w="2592" w:type="dxa"/>
            <w:tcBorders>
              <w:top w:val="single" w:sz="4" w:space="0" w:color="000000"/>
              <w:start w:val="dotted" w:sz="4" w:space="0" w:color="000000"/>
              <w:bottom w:val="single" w:sz="4" w:space="0" w:color="000000"/>
              <w:end w:val="dotted" w:sz="4" w:space="0" w:color="000000"/>
            </w:tcBorders>
            <w:shd w:fill="0000FF" w:val="clear"/>
          </w:tcPr>
          <w:p>
            <w:pPr>
              <w:pStyle w:val="TABLE"/>
              <w:spacing w:before="120" w:after="120"/>
              <w:jc w:val="center"/>
              <w:rPr>
                <w:b/>
                <w:color w:val="FFFFFF"/>
                <w:sz w:val="20"/>
              </w:rPr>
            </w:pPr>
            <w:r>
              <w:rPr>
                <w:b/>
                <w:color w:val="FFFFFF"/>
                <w:sz w:val="20"/>
              </w:rPr>
              <w:t xml:space="preserve">Energy Crunch </w:t>
            </w:r>
          </w:p>
        </w:tc>
        <w:tc>
          <w:tcPr>
            <w:tcW w:w="2592" w:type="dxa"/>
            <w:tcBorders>
              <w:top w:val="single" w:sz="4" w:space="0" w:color="000000"/>
              <w:start w:val="dotted" w:sz="4" w:space="0" w:color="000000"/>
              <w:bottom w:val="single" w:sz="4" w:space="0" w:color="000000"/>
              <w:end w:val="dotted" w:sz="4" w:space="0" w:color="000000"/>
            </w:tcBorders>
            <w:shd w:fill="0000FF" w:val="clear"/>
          </w:tcPr>
          <w:p>
            <w:pPr>
              <w:pStyle w:val="TABLE"/>
              <w:spacing w:before="120" w:after="120"/>
              <w:jc w:val="center"/>
              <w:rPr>
                <w:b/>
                <w:color w:val="FFFFFF"/>
                <w:sz w:val="20"/>
              </w:rPr>
            </w:pPr>
            <w:r>
              <w:rPr>
                <w:b/>
                <w:color w:val="FFFFFF"/>
                <w:sz w:val="20"/>
              </w:rPr>
              <w:t>Conventional Wisdom</w:t>
            </w:r>
          </w:p>
        </w:tc>
        <w:tc>
          <w:tcPr>
            <w:tcW w:w="2592" w:type="dxa"/>
            <w:tcBorders>
              <w:top w:val="single" w:sz="4" w:space="0" w:color="000000"/>
              <w:start w:val="dotted" w:sz="4" w:space="0" w:color="000000"/>
              <w:bottom w:val="single" w:sz="4" w:space="0" w:color="000000"/>
              <w:end w:val="single" w:sz="4" w:space="0" w:color="000000"/>
            </w:tcBorders>
            <w:shd w:fill="0000FF" w:val="clear"/>
          </w:tcPr>
          <w:p>
            <w:pPr>
              <w:pStyle w:val="TABLE"/>
              <w:spacing w:before="120" w:after="120"/>
              <w:jc w:val="center"/>
              <w:rPr>
                <w:b/>
                <w:color w:val="FFFFFF"/>
                <w:sz w:val="20"/>
              </w:rPr>
            </w:pPr>
            <w:r>
              <w:rPr>
                <w:b/>
                <w:color w:val="FFFFFF"/>
                <w:sz w:val="20"/>
              </w:rPr>
              <w:t>Energy Shakeout</w:t>
            </w:r>
          </w:p>
        </w:tc>
      </w:tr>
      <w:tr>
        <w:trPr/>
        <w:tc>
          <w:tcPr>
            <w:tcW w:w="2376" w:type="dxa"/>
            <w:tcBorders>
              <w:top w:val="single" w:sz="4" w:space="0" w:color="000000"/>
              <w:start w:val="single" w:sz="4" w:space="0" w:color="000000"/>
              <w:end w:val="single" w:sz="4" w:space="0" w:color="000000"/>
            </w:tcBorders>
          </w:tcPr>
          <w:p>
            <w:pPr>
              <w:pStyle w:val="TABLE"/>
              <w:spacing w:before="60" w:after="60"/>
              <w:rPr>
                <w:b/>
                <w:sz w:val="17"/>
              </w:rPr>
            </w:pPr>
            <w:r>
              <w:rPr>
                <w:b/>
                <w:sz w:val="17"/>
              </w:rPr>
              <w:t>Natural Gas and Oil Supply</w:t>
            </w:r>
          </w:p>
        </w:tc>
        <w:tc>
          <w:tcPr>
            <w:tcW w:w="2592" w:type="dxa"/>
            <w:tcBorders>
              <w:top w:val="single" w:sz="4" w:space="0" w:color="000000"/>
              <w:start w:val="single" w:sz="4" w:space="0" w:color="000000"/>
              <w:end w:val="single" w:sz="4" w:space="0" w:color="000000"/>
            </w:tcBorders>
          </w:tcPr>
          <w:p>
            <w:pPr>
              <w:pStyle w:val="TABLE"/>
              <w:spacing w:before="60" w:after="60"/>
              <w:jc w:val="center"/>
              <w:rPr>
                <w:sz w:val="17"/>
              </w:rPr>
            </w:pPr>
            <w:r>
              <w:rPr>
                <w:sz w:val="17"/>
              </w:rPr>
              <w:t>Moderate Technology</w:t>
            </w:r>
          </w:p>
          <w:p>
            <w:pPr>
              <w:pStyle w:val="TABLE"/>
              <w:spacing w:before="60" w:after="60"/>
              <w:jc w:val="center"/>
              <w:rPr>
                <w:sz w:val="17"/>
              </w:rPr>
            </w:pPr>
            <w:r>
              <w:rPr>
                <w:sz w:val="17"/>
              </w:rPr>
              <w:t>(Advances slow from recent pace).  Access to resources remains the same.  Reluctance to invest in exploration in new frontiers delays growth in supply for an extended period.</w:t>
            </w:r>
          </w:p>
        </w:tc>
        <w:tc>
          <w:tcPr>
            <w:tcW w:w="2592" w:type="dxa"/>
            <w:tcBorders>
              <w:top w:val="single" w:sz="4" w:space="0" w:color="000000"/>
              <w:start w:val="single" w:sz="4" w:space="0" w:color="000000"/>
              <w:end w:val="single" w:sz="4" w:space="0" w:color="000000"/>
            </w:tcBorders>
          </w:tcPr>
          <w:p>
            <w:pPr>
              <w:pStyle w:val="TABLE"/>
              <w:spacing w:before="60" w:after="60"/>
              <w:jc w:val="center"/>
              <w:rPr>
                <w:sz w:val="17"/>
              </w:rPr>
            </w:pPr>
            <w:r>
              <w:rPr>
                <w:sz w:val="17"/>
              </w:rPr>
              <w:t>Reference Technology</w:t>
            </w:r>
          </w:p>
          <w:p>
            <w:pPr>
              <w:pStyle w:val="TABLE"/>
              <w:spacing w:before="60" w:after="60"/>
              <w:jc w:val="center"/>
              <w:rPr>
                <w:sz w:val="17"/>
              </w:rPr>
            </w:pPr>
            <w:r>
              <w:rPr>
                <w:sz w:val="17"/>
              </w:rPr>
              <w:t>(Recent rates of technology advancement continue).  Access to resources remains the same.</w:t>
            </w:r>
          </w:p>
        </w:tc>
        <w:tc>
          <w:tcPr>
            <w:tcW w:w="2592" w:type="dxa"/>
            <w:tcBorders>
              <w:top w:val="single" w:sz="4" w:space="0" w:color="000000"/>
              <w:start w:val="single" w:sz="4" w:space="0" w:color="000000"/>
              <w:end w:val="single" w:sz="4" w:space="0" w:color="000000"/>
            </w:tcBorders>
          </w:tcPr>
          <w:p>
            <w:pPr>
              <w:pStyle w:val="TABLE"/>
              <w:spacing w:before="60" w:after="60"/>
              <w:jc w:val="center"/>
              <w:rPr>
                <w:sz w:val="17"/>
              </w:rPr>
            </w:pPr>
            <w:r>
              <w:rPr>
                <w:sz w:val="17"/>
              </w:rPr>
              <w:t>High Technology</w:t>
            </w:r>
          </w:p>
          <w:p>
            <w:pPr>
              <w:pStyle w:val="TABLE"/>
              <w:spacing w:before="60" w:after="60"/>
              <w:jc w:val="center"/>
              <w:rPr>
                <w:sz w:val="17"/>
              </w:rPr>
            </w:pPr>
            <w:r>
              <w:rPr>
                <w:sz w:val="17"/>
              </w:rPr>
              <w:t>(Technological advances outpace recent rapid rates of technology), Supply over responds causing a temporary bubble.  Increased access to resources lowers long term cost of supply.</w:t>
            </w:r>
          </w:p>
        </w:tc>
      </w:tr>
      <w:tr>
        <w:trPr/>
        <w:tc>
          <w:tcPr>
            <w:tcW w:w="2376" w:type="dxa"/>
            <w:tcBorders>
              <w:top w:val="single" w:sz="4" w:space="0" w:color="000000"/>
              <w:start w:val="single" w:sz="4" w:space="0" w:color="000000"/>
              <w:bottom w:val="single" w:sz="4" w:space="0" w:color="000000"/>
              <w:end w:val="single" w:sz="4" w:space="0" w:color="000000"/>
            </w:tcBorders>
          </w:tcPr>
          <w:p>
            <w:pPr>
              <w:pStyle w:val="TABLE"/>
              <w:spacing w:before="60" w:after="60"/>
              <w:rPr>
                <w:b/>
                <w:color w:val="000000"/>
                <w:sz w:val="17"/>
              </w:rPr>
            </w:pPr>
            <w:r>
              <w:rPr>
                <w:b/>
                <w:color w:val="000000"/>
                <w:sz w:val="17"/>
              </w:rPr>
              <w:t>Electricity Growth</w:t>
            </w:r>
          </w:p>
        </w:tc>
        <w:tc>
          <w:tcPr>
            <w:tcW w:w="2592" w:type="dxa"/>
            <w:tcBorders>
              <w:top w:val="single" w:sz="4" w:space="0" w:color="000000"/>
              <w:start w:val="single" w:sz="4" w:space="0" w:color="000000"/>
              <w:bottom w:val="single" w:sz="4" w:space="0" w:color="000000"/>
              <w:end w:val="single" w:sz="4" w:space="0" w:color="000000"/>
            </w:tcBorders>
          </w:tcPr>
          <w:p>
            <w:pPr>
              <w:pStyle w:val="TABLE"/>
              <w:spacing w:before="60" w:after="60"/>
              <w:jc w:val="center"/>
              <w:rPr>
                <w:color w:val="000000"/>
                <w:sz w:val="17"/>
              </w:rPr>
            </w:pPr>
            <w:r>
              <w:rPr>
                <w:color w:val="000000"/>
                <w:sz w:val="17"/>
              </w:rPr>
              <w:t>Electricity growth grows at approximately 80% of GDP growth rate</w:t>
            </w:r>
          </w:p>
        </w:tc>
        <w:tc>
          <w:tcPr>
            <w:tcW w:w="2592" w:type="dxa"/>
            <w:tcBorders>
              <w:top w:val="single" w:sz="4" w:space="0" w:color="000000"/>
              <w:start w:val="single" w:sz="4" w:space="0" w:color="000000"/>
              <w:bottom w:val="single" w:sz="4" w:space="0" w:color="000000"/>
              <w:end w:val="single" w:sz="4" w:space="0" w:color="000000"/>
            </w:tcBorders>
          </w:tcPr>
          <w:p>
            <w:pPr>
              <w:pStyle w:val="TABLE"/>
              <w:spacing w:before="60" w:after="60"/>
              <w:jc w:val="center"/>
              <w:rPr>
                <w:color w:val="000000"/>
                <w:sz w:val="17"/>
              </w:rPr>
            </w:pPr>
            <w:r>
              <w:rPr>
                <w:color w:val="000000"/>
                <w:sz w:val="17"/>
              </w:rPr>
              <w:t>Electricity growth grows at approximately 80% of GDP growth rate</w:t>
            </w:r>
          </w:p>
        </w:tc>
        <w:tc>
          <w:tcPr>
            <w:tcW w:w="2592" w:type="dxa"/>
            <w:tcBorders>
              <w:top w:val="single" w:sz="4" w:space="0" w:color="000000"/>
              <w:start w:val="single" w:sz="4" w:space="0" w:color="000000"/>
              <w:bottom w:val="single" w:sz="4" w:space="0" w:color="000000"/>
              <w:end w:val="single" w:sz="4" w:space="0" w:color="000000"/>
            </w:tcBorders>
          </w:tcPr>
          <w:p>
            <w:pPr>
              <w:pStyle w:val="TABLE"/>
              <w:spacing w:before="60" w:after="60"/>
              <w:jc w:val="center"/>
              <w:rPr>
                <w:color w:val="000000"/>
                <w:sz w:val="17"/>
              </w:rPr>
            </w:pPr>
            <w:r>
              <w:rPr>
                <w:color w:val="000000"/>
                <w:sz w:val="17"/>
              </w:rPr>
              <w:t>Electricity growth grows at approximately 60% of GDP</w:t>
            </w:r>
          </w:p>
        </w:tc>
      </w:tr>
      <w:tr>
        <w:trPr/>
        <w:tc>
          <w:tcPr>
            <w:tcW w:w="2376" w:type="dxa"/>
            <w:tcBorders>
              <w:start w:val="single" w:sz="4" w:space="0" w:color="000000"/>
              <w:bottom w:val="single" w:sz="4" w:space="0" w:color="000000"/>
              <w:end w:val="single" w:sz="4" w:space="0" w:color="000000"/>
            </w:tcBorders>
          </w:tcPr>
          <w:p>
            <w:pPr>
              <w:pStyle w:val="TABLE"/>
              <w:spacing w:before="60" w:after="60"/>
              <w:rPr>
                <w:b/>
                <w:sz w:val="17"/>
              </w:rPr>
            </w:pPr>
            <w:r>
              <w:rPr>
                <w:b/>
                <w:sz w:val="17"/>
              </w:rPr>
              <w:t>Air Regulations</w:t>
            </w:r>
          </w:p>
        </w:tc>
        <w:tc>
          <w:tcPr>
            <w:tcW w:w="2592" w:type="dxa"/>
            <w:tcBorders>
              <w:start w:val="single" w:sz="4" w:space="0" w:color="000000"/>
              <w:bottom w:val="single" w:sz="4" w:space="0" w:color="000000"/>
              <w:end w:val="single" w:sz="4" w:space="0" w:color="000000"/>
            </w:tcBorders>
          </w:tcPr>
          <w:p>
            <w:pPr>
              <w:pStyle w:val="TABLE"/>
              <w:spacing w:before="60" w:after="60"/>
              <w:jc w:val="center"/>
              <w:rPr/>
            </w:pPr>
            <w:r>
              <w:rPr>
                <w:b/>
                <w:sz w:val="17"/>
              </w:rPr>
              <w:t>NOx</w:t>
            </w:r>
            <w:r>
              <w:rPr>
                <w:sz w:val="17"/>
              </w:rPr>
              <w:t xml:space="preserve"> regulations are implemented in 2004.</w:t>
              <w:br/>
              <w:br/>
            </w:r>
            <w:r>
              <w:rPr>
                <w:b/>
                <w:sz w:val="17"/>
              </w:rPr>
              <w:t>SO</w:t>
            </w:r>
            <w:r>
              <w:rPr>
                <w:b/>
                <w:sz w:val="17"/>
                <w:vertAlign w:val="subscript"/>
              </w:rPr>
              <w:t>2</w:t>
            </w:r>
            <w:r>
              <w:rPr>
                <w:sz w:val="17"/>
              </w:rPr>
              <w:t xml:space="preserve"> regulations are tightened in 2008.</w:t>
              <w:br/>
              <w:br/>
            </w:r>
            <w:r>
              <w:rPr>
                <w:b/>
                <w:sz w:val="17"/>
              </w:rPr>
              <w:t>PM</w:t>
            </w:r>
            <w:r>
              <w:rPr>
                <w:sz w:val="17"/>
              </w:rPr>
              <w:t xml:space="preserve"> (particulate matter) regulations are in effect in 2008 with full implementation by 2015 </w:t>
              <w:br/>
              <w:br/>
            </w:r>
            <w:r>
              <w:rPr>
                <w:b/>
                <w:sz w:val="17"/>
              </w:rPr>
              <w:t>Air Toxins</w:t>
            </w:r>
            <w:r>
              <w:rPr>
                <w:sz w:val="17"/>
              </w:rPr>
              <w:t xml:space="preserve"> remain under review.</w:t>
            </w:r>
          </w:p>
        </w:tc>
        <w:tc>
          <w:tcPr>
            <w:tcW w:w="2592" w:type="dxa"/>
            <w:tcBorders>
              <w:start w:val="single" w:sz="4" w:space="0" w:color="000000"/>
              <w:bottom w:val="single" w:sz="4" w:space="0" w:color="000000"/>
              <w:end w:val="single" w:sz="4" w:space="0" w:color="000000"/>
            </w:tcBorders>
          </w:tcPr>
          <w:p>
            <w:pPr>
              <w:pStyle w:val="TABLE"/>
              <w:spacing w:before="60" w:after="60"/>
              <w:jc w:val="center"/>
              <w:rPr/>
            </w:pPr>
            <w:r>
              <w:rPr>
                <w:b/>
                <w:sz w:val="17"/>
              </w:rPr>
              <w:t>NOx</w:t>
            </w:r>
            <w:r>
              <w:rPr>
                <w:sz w:val="17"/>
              </w:rPr>
              <w:t xml:space="preserve"> regulations are implemented in 2004.</w:t>
              <w:br/>
              <w:br/>
            </w:r>
            <w:r>
              <w:rPr>
                <w:b/>
                <w:sz w:val="17"/>
              </w:rPr>
              <w:t>SO</w:t>
            </w:r>
            <w:r>
              <w:rPr>
                <w:b/>
                <w:sz w:val="17"/>
                <w:vertAlign w:val="subscript"/>
              </w:rPr>
              <w:t>2</w:t>
            </w:r>
            <w:r>
              <w:rPr>
                <w:b/>
                <w:sz w:val="17"/>
              </w:rPr>
              <w:t xml:space="preserve"> </w:t>
            </w:r>
            <w:r>
              <w:rPr>
                <w:sz w:val="17"/>
              </w:rPr>
              <w:t>regulations are tightened in 2008.</w:t>
              <w:br/>
              <w:br/>
            </w:r>
            <w:r>
              <w:rPr>
                <w:b/>
                <w:sz w:val="17"/>
              </w:rPr>
              <w:t>PM</w:t>
            </w:r>
            <w:r>
              <w:rPr>
                <w:sz w:val="17"/>
              </w:rPr>
              <w:t xml:space="preserve"> (particulate matter) regulations are in effect in 2008 with full implementation by 2015 </w:t>
              <w:br/>
              <w:br/>
            </w:r>
            <w:r>
              <w:rPr>
                <w:b/>
                <w:sz w:val="17"/>
              </w:rPr>
              <w:t>Air Toxins</w:t>
            </w:r>
            <w:r>
              <w:rPr>
                <w:sz w:val="17"/>
              </w:rPr>
              <w:t xml:space="preserve"> remain under review.</w:t>
            </w:r>
          </w:p>
        </w:tc>
        <w:tc>
          <w:tcPr>
            <w:tcW w:w="2592" w:type="dxa"/>
            <w:tcBorders>
              <w:start w:val="single" w:sz="4" w:space="0" w:color="000000"/>
              <w:bottom w:val="single" w:sz="4" w:space="0" w:color="000000"/>
              <w:end w:val="single" w:sz="4" w:space="0" w:color="000000"/>
            </w:tcBorders>
          </w:tcPr>
          <w:p>
            <w:pPr>
              <w:pStyle w:val="TABLE"/>
              <w:spacing w:before="60" w:after="60"/>
              <w:jc w:val="center"/>
              <w:rPr/>
            </w:pPr>
            <w:r>
              <w:rPr>
                <w:b/>
                <w:sz w:val="17"/>
              </w:rPr>
              <w:t xml:space="preserve">NOx </w:t>
            </w:r>
            <w:r>
              <w:rPr>
                <w:sz w:val="17"/>
              </w:rPr>
              <w:t>regulations delayed and weakened.</w:t>
              <w:br/>
              <w:br/>
            </w:r>
            <w:r>
              <w:rPr>
                <w:b/>
                <w:sz w:val="17"/>
              </w:rPr>
              <w:t>SO</w:t>
            </w:r>
            <w:r>
              <w:rPr>
                <w:b/>
                <w:sz w:val="17"/>
                <w:vertAlign w:val="subscript"/>
              </w:rPr>
              <w:t>2</w:t>
            </w:r>
            <w:r>
              <w:rPr>
                <w:sz w:val="17"/>
              </w:rPr>
              <w:t xml:space="preserve"> regulations are not tightened in 2008.</w:t>
              <w:br/>
              <w:br/>
            </w:r>
            <w:r>
              <w:rPr>
                <w:b/>
                <w:sz w:val="17"/>
              </w:rPr>
              <w:t>PM</w:t>
            </w:r>
            <w:r>
              <w:rPr>
                <w:sz w:val="17"/>
              </w:rPr>
              <w:t xml:space="preserve"> (particulate matter) regulations are not implemented.</w:t>
              <w:br/>
              <w:br/>
              <w:br/>
            </w:r>
            <w:r>
              <w:rPr>
                <w:b/>
                <w:sz w:val="17"/>
              </w:rPr>
              <w:t>Air Toxins</w:t>
            </w:r>
            <w:r>
              <w:rPr>
                <w:sz w:val="17"/>
              </w:rPr>
              <w:t xml:space="preserve"> remain under review.</w:t>
            </w:r>
          </w:p>
        </w:tc>
      </w:tr>
      <w:tr>
        <w:trPr/>
        <w:tc>
          <w:tcPr>
            <w:tcW w:w="2376" w:type="dxa"/>
            <w:tcBorders>
              <w:top w:val="single" w:sz="4" w:space="0" w:color="000000"/>
              <w:start w:val="single" w:sz="4" w:space="0" w:color="000000"/>
              <w:bottom w:val="single" w:sz="4" w:space="0" w:color="000000"/>
              <w:end w:val="single" w:sz="4" w:space="0" w:color="000000"/>
            </w:tcBorders>
          </w:tcPr>
          <w:p>
            <w:pPr>
              <w:pStyle w:val="TABLE"/>
              <w:spacing w:before="60" w:after="60"/>
              <w:rPr>
                <w:b/>
                <w:sz w:val="17"/>
              </w:rPr>
            </w:pPr>
            <w:r>
              <w:rPr>
                <w:b/>
                <w:sz w:val="17"/>
              </w:rPr>
              <w:t>Coal Capacity</w:t>
            </w:r>
          </w:p>
        </w:tc>
        <w:tc>
          <w:tcPr>
            <w:tcW w:w="2592" w:type="dxa"/>
            <w:tcBorders>
              <w:top w:val="single" w:sz="4" w:space="0" w:color="000000"/>
              <w:start w:val="single" w:sz="4" w:space="0" w:color="000000"/>
              <w:bottom w:val="single" w:sz="4" w:space="0" w:color="000000"/>
              <w:end w:val="single" w:sz="4" w:space="0" w:color="000000"/>
            </w:tcBorders>
          </w:tcPr>
          <w:p>
            <w:pPr>
              <w:pStyle w:val="TABLE"/>
              <w:spacing w:before="60" w:after="60"/>
              <w:jc w:val="center"/>
              <w:rPr>
                <w:sz w:val="17"/>
              </w:rPr>
            </w:pPr>
            <w:r>
              <w:rPr>
                <w:sz w:val="17"/>
              </w:rPr>
              <w:t>Coal generation increases slowly because of environmental regulations and shortage of labor to install equipment necessary to meet environmental regulations.  Constraints on manufacturing increase cost of new plants.</w:t>
            </w:r>
          </w:p>
        </w:tc>
        <w:tc>
          <w:tcPr>
            <w:tcW w:w="2592" w:type="dxa"/>
            <w:tcBorders>
              <w:top w:val="single" w:sz="4" w:space="0" w:color="000000"/>
              <w:start w:val="single" w:sz="4" w:space="0" w:color="000000"/>
              <w:bottom w:val="single" w:sz="4" w:space="0" w:color="000000"/>
              <w:end w:val="single" w:sz="4" w:space="0" w:color="000000"/>
            </w:tcBorders>
          </w:tcPr>
          <w:p>
            <w:pPr>
              <w:pStyle w:val="TABLE"/>
              <w:spacing w:before="60" w:after="60"/>
              <w:jc w:val="center"/>
              <w:rPr>
                <w:sz w:val="17"/>
              </w:rPr>
            </w:pPr>
            <w:r>
              <w:rPr>
                <w:sz w:val="17"/>
              </w:rPr>
              <w:t>Coal generation grows moderately as capacity of existing units is increased and new capacity comes on during the second half of the decade.</w:t>
            </w:r>
          </w:p>
        </w:tc>
        <w:tc>
          <w:tcPr>
            <w:tcW w:w="2592" w:type="dxa"/>
            <w:tcBorders>
              <w:top w:val="single" w:sz="4" w:space="0" w:color="000000"/>
              <w:start w:val="single" w:sz="4" w:space="0" w:color="000000"/>
              <w:bottom w:val="single" w:sz="4" w:space="0" w:color="000000"/>
              <w:end w:val="single" w:sz="4" w:space="0" w:color="000000"/>
            </w:tcBorders>
          </w:tcPr>
          <w:p>
            <w:pPr>
              <w:pStyle w:val="TABLE"/>
              <w:spacing w:before="60" w:after="60"/>
              <w:jc w:val="center"/>
              <w:rPr>
                <w:sz w:val="17"/>
              </w:rPr>
            </w:pPr>
            <w:r>
              <w:rPr>
                <w:sz w:val="17"/>
              </w:rPr>
              <w:t>Coal generation grows moderately as capacity of existing units is increased and new capacity comes on during the second half of the decade.</w:t>
            </w:r>
          </w:p>
        </w:tc>
      </w:tr>
      <w:tr>
        <w:trPr/>
        <w:tc>
          <w:tcPr>
            <w:tcW w:w="2376" w:type="dxa"/>
            <w:tcBorders>
              <w:top w:val="single" w:sz="4" w:space="0" w:color="000000"/>
              <w:start w:val="single" w:sz="4" w:space="0" w:color="000000"/>
              <w:bottom w:val="single" w:sz="4" w:space="0" w:color="000000"/>
              <w:end w:val="single" w:sz="4" w:space="0" w:color="000000"/>
            </w:tcBorders>
          </w:tcPr>
          <w:p>
            <w:pPr>
              <w:pStyle w:val="TABLE"/>
              <w:spacing w:before="60" w:after="60"/>
              <w:rPr>
                <w:b/>
                <w:sz w:val="17"/>
              </w:rPr>
            </w:pPr>
            <w:r>
              <w:rPr>
                <w:b/>
                <w:sz w:val="17"/>
              </w:rPr>
              <w:t xml:space="preserve">Nuclear Capacity </w:t>
            </w:r>
          </w:p>
        </w:tc>
        <w:tc>
          <w:tcPr>
            <w:tcW w:w="2592" w:type="dxa"/>
            <w:tcBorders>
              <w:top w:val="single" w:sz="4" w:space="0" w:color="000000"/>
              <w:start w:val="single" w:sz="4" w:space="0" w:color="000000"/>
              <w:bottom w:val="single" w:sz="4" w:space="0" w:color="000000"/>
              <w:end w:val="single" w:sz="4" w:space="0" w:color="000000"/>
            </w:tcBorders>
          </w:tcPr>
          <w:p>
            <w:pPr>
              <w:pStyle w:val="TABLE"/>
              <w:spacing w:before="60" w:after="60"/>
              <w:jc w:val="center"/>
              <w:rPr>
                <w:sz w:val="17"/>
              </w:rPr>
            </w:pPr>
            <w:r>
              <w:rPr>
                <w:sz w:val="17"/>
              </w:rPr>
              <w:t>Nuclear capacity operating rates decline from recent high levels.  A substantial number of nuclear units show down upon expiration of their license.</w:t>
            </w:r>
          </w:p>
        </w:tc>
        <w:tc>
          <w:tcPr>
            <w:tcW w:w="2592" w:type="dxa"/>
            <w:tcBorders>
              <w:top w:val="single" w:sz="4" w:space="0" w:color="000000"/>
              <w:start w:val="single" w:sz="4" w:space="0" w:color="000000"/>
              <w:bottom w:val="single" w:sz="4" w:space="0" w:color="000000"/>
              <w:end w:val="single" w:sz="4" w:space="0" w:color="000000"/>
            </w:tcBorders>
          </w:tcPr>
          <w:p>
            <w:pPr>
              <w:pStyle w:val="TABLE"/>
              <w:spacing w:before="60" w:after="60"/>
              <w:jc w:val="center"/>
              <w:rPr>
                <w:sz w:val="17"/>
              </w:rPr>
            </w:pPr>
            <w:r>
              <w:rPr>
                <w:sz w:val="17"/>
              </w:rPr>
              <w:t>Nuclear capacity continues to operate at recent high levels.  Most nuclear licenses are extended 5 years on most plants.</w:t>
            </w:r>
          </w:p>
        </w:tc>
        <w:tc>
          <w:tcPr>
            <w:tcW w:w="2592" w:type="dxa"/>
            <w:tcBorders>
              <w:top w:val="single" w:sz="4" w:space="0" w:color="000000"/>
              <w:start w:val="single" w:sz="4" w:space="0" w:color="000000"/>
              <w:bottom w:val="single" w:sz="4" w:space="0" w:color="000000"/>
              <w:end w:val="single" w:sz="4" w:space="0" w:color="000000"/>
            </w:tcBorders>
          </w:tcPr>
          <w:p>
            <w:pPr>
              <w:pStyle w:val="TABLE"/>
              <w:spacing w:before="60" w:after="60"/>
              <w:jc w:val="center"/>
              <w:rPr>
                <w:sz w:val="17"/>
              </w:rPr>
            </w:pPr>
            <w:r>
              <w:rPr>
                <w:sz w:val="17"/>
              </w:rPr>
              <w:t>Nuclear capacity continues to operate at recent high levels.  Most nuclear licenses are extended 5 years on most plants.  Capacity on units is increased by 6% by improving waste heat recovery.</w:t>
            </w:r>
          </w:p>
        </w:tc>
      </w:tr>
      <w:tr>
        <w:trPr/>
        <w:tc>
          <w:tcPr>
            <w:tcW w:w="2376" w:type="dxa"/>
            <w:tcBorders>
              <w:top w:val="single" w:sz="4" w:space="0" w:color="000000"/>
              <w:start w:val="single" w:sz="4" w:space="0" w:color="000000"/>
              <w:bottom w:val="single" w:sz="4" w:space="0" w:color="000000"/>
              <w:end w:val="single" w:sz="4" w:space="0" w:color="000000"/>
            </w:tcBorders>
          </w:tcPr>
          <w:p>
            <w:pPr>
              <w:pStyle w:val="TABLE"/>
              <w:spacing w:before="60" w:after="60"/>
              <w:rPr>
                <w:b/>
                <w:color w:val="000000"/>
                <w:sz w:val="17"/>
              </w:rPr>
            </w:pPr>
            <w:r>
              <w:rPr>
                <w:b/>
                <w:color w:val="000000"/>
                <w:sz w:val="17"/>
              </w:rPr>
              <w:t xml:space="preserve">End Use </w:t>
            </w:r>
          </w:p>
        </w:tc>
        <w:tc>
          <w:tcPr>
            <w:tcW w:w="2592" w:type="dxa"/>
            <w:tcBorders>
              <w:top w:val="single" w:sz="4" w:space="0" w:color="000000"/>
              <w:start w:val="single" w:sz="4" w:space="0" w:color="000000"/>
              <w:bottom w:val="single" w:sz="4" w:space="0" w:color="000000"/>
              <w:end w:val="single" w:sz="4" w:space="0" w:color="000000"/>
            </w:tcBorders>
          </w:tcPr>
          <w:p>
            <w:pPr>
              <w:pStyle w:val="TABLE"/>
              <w:spacing w:before="60" w:after="60"/>
              <w:jc w:val="center"/>
              <w:rPr>
                <w:color w:val="000000"/>
                <w:sz w:val="17"/>
              </w:rPr>
            </w:pPr>
            <w:r>
              <w:rPr>
                <w:color w:val="000000"/>
                <w:sz w:val="17"/>
              </w:rPr>
              <w:t>Moderate response to current high prices results in some improvement in energy efficiency.</w:t>
            </w:r>
          </w:p>
        </w:tc>
        <w:tc>
          <w:tcPr>
            <w:tcW w:w="2592" w:type="dxa"/>
            <w:tcBorders>
              <w:top w:val="single" w:sz="4" w:space="0" w:color="000000"/>
              <w:start w:val="single" w:sz="4" w:space="0" w:color="000000"/>
              <w:bottom w:val="single" w:sz="4" w:space="0" w:color="000000"/>
              <w:end w:val="single" w:sz="4" w:space="0" w:color="000000"/>
            </w:tcBorders>
          </w:tcPr>
          <w:p>
            <w:pPr>
              <w:pStyle w:val="TABLE"/>
              <w:spacing w:before="60" w:after="60"/>
              <w:jc w:val="center"/>
              <w:rPr>
                <w:color w:val="000000"/>
                <w:sz w:val="17"/>
              </w:rPr>
            </w:pPr>
            <w:r>
              <w:rPr>
                <w:color w:val="000000"/>
                <w:sz w:val="17"/>
              </w:rPr>
              <w:t>Moderate response to current high prices results in improved energy efficiency.</w:t>
            </w:r>
          </w:p>
        </w:tc>
        <w:tc>
          <w:tcPr>
            <w:tcW w:w="2592" w:type="dxa"/>
            <w:tcBorders>
              <w:top w:val="single" w:sz="4" w:space="0" w:color="000000"/>
              <w:start w:val="single" w:sz="4" w:space="0" w:color="000000"/>
              <w:bottom w:val="single" w:sz="4" w:space="0" w:color="000000"/>
              <w:end w:val="single" w:sz="4" w:space="0" w:color="000000"/>
            </w:tcBorders>
          </w:tcPr>
          <w:p>
            <w:pPr>
              <w:pStyle w:val="TABLE"/>
              <w:spacing w:before="60" w:after="60"/>
              <w:jc w:val="center"/>
              <w:rPr>
                <w:color w:val="000000"/>
                <w:sz w:val="17"/>
              </w:rPr>
            </w:pPr>
            <w:r>
              <w:rPr>
                <w:color w:val="000000"/>
                <w:sz w:val="17"/>
              </w:rPr>
              <w:t>Strong response to current high prices results in sharply improved energy efficiency.</w:t>
            </w:r>
          </w:p>
        </w:tc>
      </w:tr>
    </w:tbl>
    <w:p>
      <w:pPr>
        <w:pStyle w:val="QTEXT"/>
        <w:spacing w:before="20" w:after="20"/>
        <w:rPr/>
      </w:pPr>
      <w:r>
        <w:rPr/>
      </w:r>
    </w:p>
    <w:sectPr>
      <w:footerReference w:type="default" r:id="rId6"/>
      <w:footerReference w:type="first" r:id="rId7"/>
      <w:type w:val="nextPage"/>
      <w:pgSz w:w="12240" w:h="15840"/>
      <w:pgMar w:left="1800" w:right="180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Helvetica">
    <w:altName w:val="Arial"/>
    <w:charset w:val="00" w:characterSet="windows-1252"/>
    <w:family w:val="swiss"/>
    <w:pitch w:val="variable"/>
  </w:font>
  <w:font w:name="Wingdings">
    <w:charset w:val="02"/>
    <w:family w:val="auto"/>
    <w:pitch w:val="variable"/>
  </w:font>
  <w:font w:name="Palatino">
    <w:altName w:val="Book Antiqua"/>
    <w:charset w:val="00" w:characterSet="windows-1252"/>
    <w:family w:val="roman"/>
    <w:pitch w:val="variable"/>
  </w:font>
  <w:font w:name="Tahoma">
    <w:charset w:val="00" w:characterSet="windows-1252"/>
    <w:family w:val="swiss"/>
    <w:pitch w:val="variable"/>
  </w:font>
  <w:font w:name="Courier New">
    <w:charset w:val="00" w:characterSet="windows-1252"/>
    <w:family w:val="modern"/>
    <w:pitch w:val="default"/>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b/>
        <w:sz w:val="18"/>
      </w:rPr>
    </w:pPr>
    <w:r>
      <w:rPr>
        <w:b/>
        <w:sz w:val="18"/>
      </w:rPr>
      <w:t>For information on WEFA Energy Services, contact</w:t>
    </w:r>
  </w:p>
  <w:p>
    <w:pPr>
      <w:pStyle w:val="Footer"/>
      <w:jc w:val="center"/>
      <w:rPr>
        <w:b/>
        <w:sz w:val="18"/>
      </w:rPr>
    </w:pPr>
    <w:r>
      <w:rPr>
        <w:b/>
        <w:sz w:val="18"/>
      </w:rPr>
      <w:t>Peter McNabb at 416-513-0061</w:t>
    </w:r>
  </w:p>
  <w:p>
    <w:pPr>
      <w:pStyle w:val="Normal"/>
      <w:tabs>
        <w:tab w:val="clear" w:pos="720"/>
        <w:tab w:val="left" w:pos="3600" w:leader="none"/>
        <w:tab w:val="left" w:pos="7200" w:leader="none"/>
      </w:tabs>
      <w:spacing w:lineRule="auto" w:line="300"/>
      <w:jc w:val="center"/>
      <w:rPr/>
    </w:pPr>
    <w:hyperlink r:id="rId1">
      <w:r>
        <w:rPr>
          <w:rStyle w:val="Hyperlink"/>
        </w:rPr>
        <w:t>mcnabb@wefa.com</w:t>
      </w:r>
    </w:hyperlink>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b/>
        <w:sz w:val="18"/>
      </w:rPr>
    </w:pPr>
    <w:r>
      <w:rPr>
        <w:b/>
        <w:sz w:val="18"/>
      </w:rPr>
      <w:t>For information on WEFA Energy Services, contact</w:t>
    </w:r>
  </w:p>
  <w:p>
    <w:pPr>
      <w:pStyle w:val="Footer"/>
      <w:jc w:val="center"/>
      <w:rPr>
        <w:b/>
        <w:sz w:val="18"/>
      </w:rPr>
    </w:pPr>
    <w:r>
      <w:rPr>
        <w:b/>
        <w:sz w:val="18"/>
      </w:rPr>
      <w:t>Peter McNabb at 416-513-0061</w:t>
    </w:r>
  </w:p>
  <w:p>
    <w:pPr>
      <w:pStyle w:val="Normal"/>
      <w:tabs>
        <w:tab w:val="clear" w:pos="720"/>
        <w:tab w:val="left" w:pos="3600" w:leader="none"/>
        <w:tab w:val="left" w:pos="7200" w:leader="none"/>
      </w:tabs>
      <w:spacing w:lineRule="auto" w:line="300"/>
      <w:jc w:val="center"/>
      <w:rPr/>
    </w:pPr>
    <w:hyperlink r:id="rId1">
      <w:r>
        <w:rPr>
          <w:rStyle w:val="Hyperlink"/>
        </w:rPr>
        <w:t>mcnabb@wefa.com</w:t>
      </w:r>
    </w:hyperlink>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abstractNum>
  <w:abstractNum w:abstractNumId="6">
    <w:lvl w:ilvl="0">
      <w:start w:val="1"/>
      <w:numFmt w:val="bullet"/>
      <w:lvlText w:val=""/>
      <w:lvlJc w:val="start"/>
      <w:pPr>
        <w:tabs>
          <w:tab w:val="num" w:pos="1800"/>
        </w:tabs>
        <w:ind w:start="1800" w:hanging="360"/>
      </w:pPr>
      <w:rPr>
        <w:rFonts w:ascii="Symbol" w:hAnsi="Symbol" w:cs="Symbol" w:hint="default"/>
      </w:rPr>
    </w:lvl>
  </w:abstractNum>
  <w:abstractNum w:abstractNumId="7">
    <w:lvl w:ilvl="0">
      <w:start w:val="1"/>
      <w:numFmt w:val="bullet"/>
      <w:lvlText w:val=""/>
      <w:lvlJc w:val="start"/>
      <w:pPr>
        <w:tabs>
          <w:tab w:val="num" w:pos="1440"/>
        </w:tabs>
        <w:ind w:start="1440" w:hanging="360"/>
      </w:pPr>
      <w:rPr>
        <w:rFonts w:ascii="Symbol" w:hAnsi="Symbol" w:cs="Symbol" w:hint="default"/>
      </w:rPr>
    </w:lvl>
  </w:abstractNum>
  <w:abstractNum w:abstractNumId="8">
    <w:lvl w:ilvl="0">
      <w:start w:val="1"/>
      <w:numFmt w:val="bullet"/>
      <w:lvlText w:val=""/>
      <w:lvlJc w:val="start"/>
      <w:pPr>
        <w:tabs>
          <w:tab w:val="num" w:pos="1080"/>
        </w:tabs>
        <w:ind w:start="1080" w:hanging="360"/>
      </w:pPr>
      <w:rPr>
        <w:rFonts w:ascii="Symbol" w:hAnsi="Symbol" w:cs="Symbol" w:hint="default"/>
      </w:rPr>
    </w:lvl>
  </w:abstractNum>
  <w:abstractNum w:abstractNumId="9">
    <w:lvl w:ilvl="0">
      <w:start w:val="1"/>
      <w:numFmt w:val="bullet"/>
      <w:lvlText w:val=""/>
      <w:lvlJc w:val="start"/>
      <w:pPr>
        <w:tabs>
          <w:tab w:val="num" w:pos="720"/>
        </w:tabs>
        <w:ind w:start="720" w:hanging="360"/>
      </w:pPr>
      <w:rPr>
        <w:rFonts w:ascii="Symbol" w:hAnsi="Symbol" w:cs="Symbol"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bullet"/>
      <w:lvlText w:val=""/>
      <w:lvlJc w:val="start"/>
      <w:pPr>
        <w:tabs>
          <w:tab w:val="num" w:pos="360"/>
        </w:tabs>
        <w:ind w:start="360" w:hanging="360"/>
      </w:pPr>
      <w:rPr>
        <w:rFonts w:ascii="Symbol" w:hAnsi="Symbol" w:cs="Symbol" w:hint="default"/>
      </w:rPr>
    </w:lvl>
  </w:abstractNum>
  <w:abstractNum w:abstractNumId="13">
    <w:lvl w:ilvl="0">
      <w:start w:val="1"/>
      <w:numFmt w:val="bullet"/>
      <w:lvlText w:val=""/>
      <w:lvlJc w:val="start"/>
      <w:pPr>
        <w:tabs>
          <w:tab w:val="num" w:pos="360"/>
        </w:tabs>
        <w:ind w:start="360" w:hanging="360"/>
      </w:pPr>
      <w:rPr>
        <w:rFonts w:ascii="Wingdings" w:hAnsi="Wingdings" w:cs="Wingdings"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w:zoom w:percent="88"/>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1"/>
      <w:szCs w:val="20"/>
      <w:lang w:val="en-US" w:eastAsia="zh-CN" w:bidi="hi-IN"/>
    </w:rPr>
  </w:style>
  <w:style w:type="paragraph" w:styleId="Heading1">
    <w:name w:val="heading 1"/>
    <w:basedOn w:val="Normal"/>
    <w:next w:val="Normal"/>
    <w:qFormat/>
    <w:pPr>
      <w:keepNext w:val="true"/>
      <w:numPr>
        <w:ilvl w:val="0"/>
        <w:numId w:val="1"/>
      </w:numPr>
      <w:spacing w:before="240" w:after="120"/>
      <w:outlineLvl w:val="0"/>
    </w:pPr>
    <w:rPr>
      <w:rFonts w:ascii="Arial" w:hAnsi="Arial" w:cs="Arial"/>
      <w:b/>
      <w:kern w:val="2"/>
      <w:sz w:val="28"/>
    </w:rPr>
  </w:style>
  <w:style w:type="paragraph" w:styleId="Heading2">
    <w:name w:val="heading 2"/>
    <w:next w:val="Normal"/>
    <w:qFormat/>
    <w:pPr>
      <w:keepNext w:val="true"/>
      <w:keepLines/>
      <w:widowControl/>
      <w:numPr>
        <w:ilvl w:val="1"/>
        <w:numId w:val="1"/>
      </w:numPr>
      <w:suppressAutoHyphens w:val="true"/>
      <w:bidi w:val="0"/>
      <w:spacing w:before="240" w:after="60"/>
      <w:outlineLvl w:val="1"/>
    </w:pPr>
    <w:rPr>
      <w:rFonts w:ascii="Helvetica;Arial" w:hAnsi="Helvetica;Arial" w:eastAsia="Times New Roman" w:cs="Helvetica;Arial"/>
      <w:b/>
      <w:color w:val="000000"/>
      <w:sz w:val="24"/>
      <w:szCs w:val="20"/>
      <w:lang w:val="en-CA" w:eastAsia="zh-CN" w:bidi="hi-IN"/>
    </w:rPr>
  </w:style>
  <w:style w:type="paragraph" w:styleId="Heading3">
    <w:name w:val="heading 3"/>
    <w:basedOn w:val="HeadingBase"/>
    <w:next w:val="BodyText"/>
    <w:qFormat/>
    <w:pPr>
      <w:numPr>
        <w:ilvl w:val="2"/>
        <w:numId w:val="1"/>
      </w:numPr>
      <w:spacing w:before="120" w:after="120"/>
      <w:outlineLvl w:val="2"/>
    </w:pPr>
    <w:rPr>
      <w:sz w:val="22"/>
    </w:rPr>
  </w:style>
  <w:style w:type="paragraph" w:styleId="Heading4">
    <w:name w:val="heading 4"/>
    <w:basedOn w:val="Normal"/>
    <w:next w:val="Normal"/>
    <w:qFormat/>
    <w:pPr>
      <w:keepNext w:val="true"/>
      <w:numPr>
        <w:ilvl w:val="3"/>
        <w:numId w:val="1"/>
      </w:numPr>
      <w:spacing w:before="240" w:after="60"/>
      <w:outlineLvl w:val="3"/>
    </w:pPr>
    <w:rPr>
      <w:rFonts w:ascii="Arial" w:hAnsi="Arial" w:cs="Arial"/>
      <w:b/>
      <w:sz w:val="24"/>
    </w:rPr>
  </w:style>
  <w:style w:type="paragraph" w:styleId="Heading5">
    <w:name w:val="heading 5"/>
    <w:basedOn w:val="Normal"/>
    <w:next w:val="Normal"/>
    <w:qFormat/>
    <w:pPr>
      <w:numPr>
        <w:ilvl w:val="4"/>
        <w:numId w:val="1"/>
      </w:numPr>
      <w:spacing w:before="240" w:after="60"/>
      <w:outlineLvl w:val="4"/>
    </w:pPr>
    <w:rPr>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rPr>
      <w:rFonts w:ascii="Arial" w:hAnsi="Arial" w:cs="Arial"/>
      <w:sz w:val="20"/>
    </w:rPr>
  </w:style>
  <w:style w:type="paragraph" w:styleId="Heading8">
    <w:name w:val="heading 8"/>
    <w:basedOn w:val="Normal"/>
    <w:next w:val="Normal"/>
    <w:qFormat/>
    <w:pPr>
      <w:numPr>
        <w:ilvl w:val="7"/>
        <w:numId w:val="1"/>
      </w:numPr>
      <w:spacing w:before="240" w:after="60"/>
      <w:outlineLvl w:val="7"/>
    </w:pPr>
    <w:rPr>
      <w:rFonts w:ascii="Arial" w:hAnsi="Arial" w:cs="Arial"/>
      <w:i/>
      <w:sz w:val="20"/>
    </w:rPr>
  </w:style>
  <w:style w:type="paragraph" w:styleId="Heading9">
    <w:name w:val="heading 9"/>
    <w:basedOn w:val="Normal"/>
    <w:next w:val="Normal"/>
    <w:qFormat/>
    <w:pPr>
      <w:numPr>
        <w:ilvl w:val="8"/>
        <w:numId w:val="1"/>
      </w:numPr>
      <w:spacing w:before="240" w:after="60"/>
      <w:outlineLvl w:val="8"/>
    </w:pPr>
    <w:rPr>
      <w:rFonts w:ascii="Arial" w:hAnsi="Arial" w:cs="Arial"/>
      <w:b/>
      <w:i/>
      <w:sz w:val="18"/>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3z0">
    <w:name w:val="WW8Num13z0"/>
    <w:qFormat/>
    <w:rPr>
      <w:rFonts w:ascii="Wingdings" w:hAnsi="Wingdings" w:cs="Wingdings"/>
      <w:color w:val="0000FF"/>
      <w:sz w:val="16"/>
    </w:rPr>
  </w:style>
  <w:style w:type="character" w:styleId="WW8Num15z0">
    <w:name w:val="WW8Num15z0"/>
    <w:qFormat/>
    <w:rPr>
      <w:rFonts w:ascii="Symbol" w:hAnsi="Symbol" w:cs="Symbol"/>
    </w:rPr>
  </w:style>
  <w:style w:type="character" w:styleId="WW8Num16z0">
    <w:name w:val="WW8Num16z0"/>
    <w:qFormat/>
    <w:rPr>
      <w:rFonts w:ascii="Wingdings" w:hAnsi="Wingdings" w:cs="Wingdings"/>
      <w:color w:val="auto"/>
      <w:sz w:val="16"/>
    </w:rPr>
  </w:style>
  <w:style w:type="character" w:styleId="WW8Num18z0">
    <w:name w:val="WW8Num18z0"/>
    <w:qFormat/>
    <w:rPr>
      <w:rFonts w:ascii="Wingdings" w:hAnsi="Wingdings" w:cs="Wingdings"/>
    </w:rPr>
  </w:style>
  <w:style w:type="character" w:styleId="WW8Num20z0">
    <w:name w:val="WW8Num20z0"/>
    <w:qFormat/>
    <w:rPr>
      <w:rFonts w:ascii="Symbol" w:hAnsi="Symbol" w:cs="Symbol"/>
    </w:rPr>
  </w:style>
  <w:style w:type="character" w:styleId="WW8Num21z0">
    <w:name w:val="WW8Num21z0"/>
    <w:qFormat/>
    <w:rPr>
      <w:rFonts w:ascii="Symbol" w:hAnsi="Symbol" w:cs="Symbol"/>
    </w:rPr>
  </w:style>
  <w:style w:type="character" w:styleId="WW8Num22z0">
    <w:name w:val="WW8Num22z0"/>
    <w:qFormat/>
    <w:rPr>
      <w:rFonts w:ascii="Symbol" w:hAnsi="Symbol" w:cs="Symbol"/>
    </w:rPr>
  </w:style>
  <w:style w:type="character" w:styleId="WW8Num23z0">
    <w:name w:val="WW8Num23z0"/>
    <w:qFormat/>
    <w:rPr>
      <w:rFonts w:ascii="Wingdings" w:hAnsi="Wingdings" w:cs="Wingdings"/>
      <w:color w:val="auto"/>
      <w:sz w:val="16"/>
    </w:rPr>
  </w:style>
  <w:style w:type="character" w:styleId="WW8Num24z0">
    <w:name w:val="WW8Num24z0"/>
    <w:qFormat/>
    <w:rPr>
      <w:rFonts w:ascii="Wingdings" w:hAnsi="Wingdings" w:cs="Wingdings"/>
    </w:rPr>
  </w:style>
  <w:style w:type="character" w:styleId="WW8Num26z0">
    <w:name w:val="WW8Num26z0"/>
    <w:qFormat/>
    <w:rPr>
      <w:rFonts w:ascii="Wingdings" w:hAnsi="Wingdings" w:cs="Wingdings"/>
    </w:rPr>
  </w:style>
  <w:style w:type="character" w:styleId="WW8Num27z0">
    <w:name w:val="WW8Num27z0"/>
    <w:qFormat/>
    <w:rPr>
      <w:rFonts w:ascii="Symbol" w:hAnsi="Symbol" w:cs="Symbol"/>
    </w:rPr>
  </w:style>
  <w:style w:type="character" w:styleId="WW8Num28z0">
    <w:name w:val="WW8Num28z0"/>
    <w:qFormat/>
    <w:rPr>
      <w:rFonts w:ascii="Wingdings" w:hAnsi="Wingdings" w:cs="Wingdings"/>
      <w:color w:val="008000"/>
      <w:sz w:val="16"/>
    </w:rPr>
  </w:style>
  <w:style w:type="character" w:styleId="WW8Num29z0">
    <w:name w:val="WW8Num29z0"/>
    <w:qFormat/>
    <w:rPr>
      <w:rFonts w:ascii="Symbol" w:hAnsi="Symbol" w:cs="Symbol"/>
    </w:rPr>
  </w:style>
  <w:style w:type="character" w:styleId="WW8Num31z0">
    <w:name w:val="WW8Num31z0"/>
    <w:qFormat/>
    <w:rPr>
      <w:rFonts w:ascii="Wingdings" w:hAnsi="Wingdings" w:cs="Wingdings"/>
      <w:color w:val="auto"/>
      <w:sz w:val="16"/>
    </w:rPr>
  </w:style>
  <w:style w:type="character" w:styleId="WW8Num32z0">
    <w:name w:val="WW8Num32z0"/>
    <w:qFormat/>
    <w:rPr>
      <w:rFonts w:ascii="Symbol" w:hAnsi="Symbol" w:cs="Symbol"/>
    </w:rPr>
  </w:style>
  <w:style w:type="character" w:styleId="WW8Num33z0">
    <w:name w:val="WW8Num33z0"/>
    <w:qFormat/>
    <w:rPr>
      <w:rFonts w:ascii="Wingdings" w:hAnsi="Wingdings" w:cs="Wingdings"/>
      <w:color w:val="auto"/>
      <w:sz w:val="16"/>
    </w:rPr>
  </w:style>
  <w:style w:type="character" w:styleId="WW8Num34z0">
    <w:name w:val="WW8Num34z0"/>
    <w:qFormat/>
    <w:rPr>
      <w:rFonts w:ascii="Wingdings" w:hAnsi="Wingdings" w:cs="Wingdings"/>
      <w:color w:val="0000FF"/>
      <w:sz w:val="16"/>
    </w:rPr>
  </w:style>
  <w:style w:type="character" w:styleId="WW8Num35z0">
    <w:name w:val="WW8Num35z0"/>
    <w:qFormat/>
    <w:rPr>
      <w:rFonts w:ascii="Wingdings" w:hAnsi="Wingdings" w:cs="Wingdings"/>
      <w:color w:val="auto"/>
      <w:sz w:val="16"/>
    </w:rPr>
  </w:style>
  <w:style w:type="character" w:styleId="WW8Num36z0">
    <w:name w:val="WW8Num36z0"/>
    <w:qFormat/>
    <w:rPr>
      <w:rFonts w:ascii="Wingdings" w:hAnsi="Wingdings" w:cs="Wingdings"/>
      <w:color w:val="auto"/>
      <w:sz w:val="16"/>
    </w:rPr>
  </w:style>
  <w:style w:type="character" w:styleId="WW8Num38z0">
    <w:name w:val="WW8Num38z0"/>
    <w:qFormat/>
    <w:rPr>
      <w:rFonts w:ascii="Wingdings" w:hAnsi="Wingdings" w:cs="Wingdings"/>
      <w:color w:val="auto"/>
      <w:sz w:val="16"/>
    </w:rPr>
  </w:style>
  <w:style w:type="character" w:styleId="WW8Num39z0">
    <w:name w:val="WW8Num39z0"/>
    <w:qFormat/>
    <w:rPr>
      <w:rFonts w:ascii="Wingdings" w:hAnsi="Wingdings" w:cs="Wingdings"/>
    </w:rPr>
  </w:style>
  <w:style w:type="character" w:styleId="WW8Num40z0">
    <w:name w:val="WW8Num40z0"/>
    <w:qFormat/>
    <w:rPr>
      <w:rFonts w:ascii="Wingdings" w:hAnsi="Wingdings" w:cs="Wingdings"/>
      <w:color w:val="0000FF"/>
      <w:sz w:val="16"/>
    </w:rPr>
  </w:style>
  <w:style w:type="character" w:styleId="WW8Num41z0">
    <w:name w:val="WW8Num41z0"/>
    <w:qFormat/>
    <w:rPr>
      <w:rFonts w:ascii="Wingdings" w:hAnsi="Wingdings" w:cs="Wingdings"/>
    </w:rPr>
  </w:style>
  <w:style w:type="character" w:styleId="WW8Num42z0">
    <w:name w:val="WW8Num42z0"/>
    <w:qFormat/>
    <w:rPr>
      <w:rFonts w:ascii="Wingdings" w:hAnsi="Wingdings" w:cs="Wingdings"/>
      <w:color w:val="auto"/>
      <w:sz w:val="16"/>
    </w:rPr>
  </w:style>
  <w:style w:type="character" w:styleId="WW8Num43z0">
    <w:name w:val="WW8Num43z0"/>
    <w:qFormat/>
    <w:rPr>
      <w:rFonts w:ascii="Symbol" w:hAnsi="Symbol" w:cs="Symbol"/>
    </w:rPr>
  </w:style>
  <w:style w:type="character" w:styleId="WW8Num44z0">
    <w:name w:val="WW8Num44z0"/>
    <w:qFormat/>
    <w:rPr>
      <w:rFonts w:ascii="Wingdings" w:hAnsi="Wingdings" w:cs="Wingdings"/>
      <w:color w:val="auto"/>
      <w:sz w:val="16"/>
    </w:rPr>
  </w:style>
  <w:style w:type="character" w:styleId="WW8Num47z0">
    <w:name w:val="WW8Num47z0"/>
    <w:qFormat/>
    <w:rPr>
      <w:rFonts w:ascii="Wingdings" w:hAnsi="Wingdings" w:cs="Wingdings"/>
      <w:color w:val="auto"/>
      <w:sz w:val="16"/>
    </w:rPr>
  </w:style>
  <w:style w:type="character" w:styleId="WW8Num48z0">
    <w:name w:val="WW8Num48z0"/>
    <w:qFormat/>
    <w:rPr>
      <w:rFonts w:ascii="Wingdings" w:hAnsi="Wingdings" w:cs="Wingdings"/>
    </w:rPr>
  </w:style>
  <w:style w:type="character" w:styleId="WW8Num49z0">
    <w:name w:val="WW8Num49z0"/>
    <w:qFormat/>
    <w:rPr>
      <w:rFonts w:ascii="Symbol" w:hAnsi="Symbol" w:cs="Symbol"/>
    </w:rPr>
  </w:style>
  <w:style w:type="character" w:styleId="WW8Num51z0">
    <w:name w:val="WW8Num51z0"/>
    <w:qFormat/>
    <w:rPr>
      <w:rFonts w:ascii="Wingdings" w:hAnsi="Wingdings" w:cs="Wingdings"/>
    </w:rPr>
  </w:style>
  <w:style w:type="character" w:styleId="WW8Num52z0">
    <w:name w:val="WW8Num52z0"/>
    <w:qFormat/>
    <w:rPr>
      <w:rFonts w:ascii="Symbol" w:hAnsi="Symbol" w:cs="Symbol"/>
    </w:rPr>
  </w:style>
  <w:style w:type="character" w:styleId="WW8Num53z0">
    <w:name w:val="WW8Num53z0"/>
    <w:qFormat/>
    <w:rPr>
      <w:rFonts w:ascii="Wingdings" w:hAnsi="Wingdings" w:cs="Wingdings"/>
      <w:color w:val="auto"/>
      <w:sz w:val="16"/>
    </w:rPr>
  </w:style>
  <w:style w:type="character" w:styleId="WW8Num54z0">
    <w:name w:val="WW8Num54z0"/>
    <w:qFormat/>
    <w:rPr>
      <w:rFonts w:ascii="Wingdings" w:hAnsi="Wingdings" w:cs="Wingdings"/>
      <w:color w:val="auto"/>
      <w:sz w:val="16"/>
    </w:rPr>
  </w:style>
  <w:style w:type="character" w:styleId="WW8Num55z0">
    <w:name w:val="WW8Num55z0"/>
    <w:qFormat/>
    <w:rPr>
      <w:rFonts w:ascii="Wingdings" w:hAnsi="Wingdings" w:cs="Wingdings"/>
    </w:rPr>
  </w:style>
  <w:style w:type="character" w:styleId="WW8Num57z0">
    <w:name w:val="WW8Num57z0"/>
    <w:qFormat/>
    <w:rPr>
      <w:rFonts w:ascii="Wingdings" w:hAnsi="Wingdings" w:cs="Wingdings"/>
      <w:color w:val="008000"/>
      <w:sz w:val="16"/>
    </w:rPr>
  </w:style>
  <w:style w:type="character" w:styleId="WW8Num58z0">
    <w:name w:val="WW8Num58z0"/>
    <w:qFormat/>
    <w:rPr>
      <w:rFonts w:ascii="Wingdings" w:hAnsi="Wingdings" w:cs="Wingdings"/>
    </w:rPr>
  </w:style>
  <w:style w:type="character" w:styleId="WW8Num59z0">
    <w:name w:val="WW8Num59z0"/>
    <w:qFormat/>
    <w:rPr>
      <w:rFonts w:ascii="Wingdings" w:hAnsi="Wingdings" w:cs="Wingdings"/>
      <w:color w:val="auto"/>
      <w:sz w:val="16"/>
    </w:rPr>
  </w:style>
  <w:style w:type="character" w:styleId="WW8Num60z0">
    <w:name w:val="WW8Num60z0"/>
    <w:qFormat/>
    <w:rPr>
      <w:rFonts w:ascii="Symbol" w:hAnsi="Symbol" w:cs="Symbol"/>
    </w:rPr>
  </w:style>
  <w:style w:type="character" w:styleId="WW8Num61z0">
    <w:name w:val="WW8Num61z0"/>
    <w:qFormat/>
    <w:rPr>
      <w:rFonts w:ascii="Wingdings" w:hAnsi="Wingdings" w:cs="Wingdings"/>
    </w:rPr>
  </w:style>
  <w:style w:type="character" w:styleId="WW8Num63z0">
    <w:name w:val="WW8Num63z0"/>
    <w:qFormat/>
    <w:rPr>
      <w:rFonts w:ascii="Wingdings" w:hAnsi="Wingdings" w:cs="Wingdings"/>
      <w:color w:val="auto"/>
      <w:sz w:val="16"/>
    </w:rPr>
  </w:style>
  <w:style w:type="character" w:styleId="WW8Num65z0">
    <w:name w:val="WW8Num65z0"/>
    <w:qFormat/>
    <w:rPr>
      <w:rFonts w:ascii="Symbol" w:hAnsi="Symbol" w:cs="Symbol"/>
    </w:rPr>
  </w:style>
  <w:style w:type="character" w:styleId="WW8Num66z0">
    <w:name w:val="WW8Num66z0"/>
    <w:qFormat/>
    <w:rPr>
      <w:rFonts w:ascii="Wingdings" w:hAnsi="Wingdings" w:cs="Wingdings"/>
      <w:color w:val="auto"/>
      <w:sz w:val="16"/>
    </w:rPr>
  </w:style>
  <w:style w:type="character" w:styleId="WW8Num68z0">
    <w:name w:val="WW8Num68z0"/>
    <w:qFormat/>
    <w:rPr>
      <w:rFonts w:ascii="Wingdings" w:hAnsi="Wingdings" w:cs="Wingdings"/>
      <w:color w:val="auto"/>
      <w:sz w:val="16"/>
    </w:rPr>
  </w:style>
  <w:style w:type="character" w:styleId="WW8Num69z0">
    <w:name w:val="WW8Num69z0"/>
    <w:qFormat/>
    <w:rPr>
      <w:rFonts w:ascii="Wingdings" w:hAnsi="Wingdings" w:cs="Wingdings"/>
      <w:color w:val="0000FF"/>
      <w:sz w:val="16"/>
    </w:rPr>
  </w:style>
  <w:style w:type="character" w:styleId="WW8Num70z0">
    <w:name w:val="WW8Num70z0"/>
    <w:qFormat/>
    <w:rPr>
      <w:rFonts w:ascii="Wingdings" w:hAnsi="Wingdings" w:cs="Wingdings"/>
    </w:rPr>
  </w:style>
  <w:style w:type="character" w:styleId="WW8Num72z0">
    <w:name w:val="WW8Num72z0"/>
    <w:qFormat/>
    <w:rPr>
      <w:rFonts w:ascii="Wingdings" w:hAnsi="Wingdings" w:cs="Wingdings"/>
    </w:rPr>
  </w:style>
  <w:style w:type="character" w:styleId="WW8Num74z0">
    <w:name w:val="WW8Num74z0"/>
    <w:qFormat/>
    <w:rPr>
      <w:rFonts w:ascii="Wingdings" w:hAnsi="Wingdings" w:cs="Wingdings"/>
    </w:rPr>
  </w:style>
  <w:style w:type="character" w:styleId="WW8Num75z0">
    <w:name w:val="WW8Num75z0"/>
    <w:qFormat/>
    <w:rPr>
      <w:rFonts w:ascii="Wingdings" w:hAnsi="Wingdings" w:cs="Wingdings"/>
      <w:color w:val="auto"/>
      <w:sz w:val="16"/>
    </w:rPr>
  </w:style>
  <w:style w:type="character" w:styleId="WW8NumSt1z0">
    <w:name w:val="WW8NumSt1z0"/>
    <w:qFormat/>
    <w:rPr>
      <w:rFonts w:ascii="Wingdings" w:hAnsi="Wingdings" w:cs="Wingdings"/>
      <w:color w:val="008000"/>
      <w:sz w:val="16"/>
    </w:rPr>
  </w:style>
  <w:style w:type="character" w:styleId="WW8NumSt2z0">
    <w:name w:val="WW8NumSt2z0"/>
    <w:qFormat/>
    <w:rPr>
      <w:rFonts w:ascii="Symbol" w:hAnsi="Symbol" w:cs="Symbol"/>
    </w:rPr>
  </w:style>
  <w:style w:type="character" w:styleId="WW8NumSt17z0">
    <w:name w:val="WW8NumSt17z0"/>
    <w:qFormat/>
    <w:rPr>
      <w:rFonts w:ascii="Wingdings" w:hAnsi="Wingdings" w:cs="Wingdings"/>
      <w:sz w:val="16"/>
    </w:rPr>
  </w:style>
  <w:style w:type="character" w:styleId="DefaultParagraphFont">
    <w:name w:val="Default Paragraph Font"/>
    <w:qFormat/>
    <w:rPr/>
  </w:style>
  <w:style w:type="character" w:styleId="PageNumber">
    <w:name w:val="page number"/>
    <w:rPr>
      <w:b/>
    </w:rPr>
  </w:style>
  <w:style w:type="character" w:styleId="FootnoteCharacters">
    <w:name w:val="Footnote Characters"/>
    <w:basedOn w:val="DefaultParagraphFont"/>
    <w:qFormat/>
    <w:rPr>
      <w:vertAlign w:val="superscript"/>
    </w:rPr>
  </w:style>
  <w:style w:type="character" w:styleId="Hyperlink">
    <w:name w:val="Hyperlink"/>
    <w:basedOn w:val="DefaultParagraphFont"/>
    <w:rPr>
      <w:color w:val="0000FF"/>
      <w:u w:val="single"/>
    </w:rPr>
  </w:style>
  <w:style w:type="paragraph" w:styleId="Heading">
    <w:name w:val="Heading"/>
    <w:basedOn w:val="HeadingBase"/>
    <w:next w:val="BodyText"/>
    <w:qFormat/>
    <w:pPr>
      <w:spacing w:before="240" w:after="360"/>
      <w:jc w:val="center"/>
    </w:pPr>
    <w:rPr>
      <w:rFonts w:ascii="Helvetica;Arial" w:hAnsi="Helvetica;Arial" w:cs="Helvetica;Arial"/>
    </w:rPr>
  </w:style>
  <w:style w:type="paragraph" w:styleId="BodyText">
    <w:name w:val="Body Text"/>
    <w:basedOn w:val="Normal"/>
    <w:pPr>
      <w:tabs>
        <w:tab w:val="clear" w:pos="720"/>
        <w:tab w:val="left" w:pos="432" w:leader="none"/>
      </w:tabs>
      <w:spacing w:before="0" w:after="120"/>
      <w:jc w:val="both"/>
    </w:pPr>
    <w:rPr/>
  </w:style>
  <w:style w:type="paragraph" w:styleId="List">
    <w:name w:val="List"/>
    <w:basedOn w:val="Normal"/>
    <w:pPr>
      <w:ind w:hanging="360" w:start="360" w:end="0"/>
    </w:pPr>
    <w:rPr/>
  </w:style>
  <w:style w:type="paragraph" w:styleId="Caption">
    <w:name w:val="caption"/>
    <w:basedOn w:val="Normal"/>
    <w:next w:val="Normal"/>
    <w:qFormat/>
    <w:pPr>
      <w:spacing w:before="120" w:after="120"/>
    </w:pPr>
    <w:rPr>
      <w:b/>
    </w:rPr>
  </w:style>
  <w:style w:type="paragraph" w:styleId="Index">
    <w:name w:val="Index"/>
    <w:basedOn w:val="Normal"/>
    <w:qFormat/>
    <w:pPr>
      <w:suppressLineNumbers/>
    </w:pPr>
    <w:rPr>
      <w:rFonts w:cs="NotoSans NF"/>
    </w:rPr>
  </w:style>
  <w:style w:type="paragraph" w:styleId="HeadingBase">
    <w:name w:val="Heading Base"/>
    <w:basedOn w:val="Normal"/>
    <w:next w:val="BodyText"/>
    <w:qFormat/>
    <w:pPr>
      <w:keepNext w:val="true"/>
      <w:keepLines/>
      <w:tabs>
        <w:tab w:val="clear" w:pos="720"/>
        <w:tab w:val="left" w:pos="432" w:leader="none"/>
      </w:tabs>
      <w:spacing w:before="240" w:after="120"/>
      <w:jc w:val="both"/>
    </w:pPr>
    <w:rPr>
      <w:rFonts w:ascii="Arial" w:hAnsi="Arial" w:cs="Arial"/>
      <w:b/>
      <w:kern w:val="2"/>
      <w:sz w:val="36"/>
    </w:rPr>
  </w:style>
  <w:style w:type="paragraph" w:styleId="wooutpara">
    <w:name w:val="wo_outpara"/>
    <w:next w:val="Normal"/>
    <w:qFormat/>
    <w:pPr>
      <w:keepNext w:val="true"/>
      <w:keepLines/>
      <w:widowControl/>
      <w:tabs>
        <w:tab w:val="clear" w:pos="720"/>
        <w:tab w:val="right" w:pos="2736" w:leader="none"/>
        <w:tab w:val="right" w:pos="3139" w:leader="none"/>
      </w:tabs>
      <w:bidi w:val="0"/>
      <w:spacing w:lineRule="exact" w:line="220"/>
    </w:pPr>
    <w:rPr>
      <w:rFonts w:ascii="Helvetica;Arial" w:hAnsi="Helvetica;Arial" w:eastAsia="Times New Roman" w:cs="Helvetica;Arial"/>
      <w:b/>
      <w:color w:val="auto"/>
      <w:sz w:val="19"/>
      <w:szCs w:val="20"/>
      <w:lang w:val="en-US" w:eastAsia="zh-CN" w:bidi="hi-IN"/>
    </w:rPr>
  </w:style>
  <w:style w:type="paragraph" w:styleId="HeaderBase">
    <w:name w:val="Header Base"/>
    <w:basedOn w:val="Normal"/>
    <w:qFormat/>
    <w:pPr>
      <w:keepLines/>
      <w:tabs>
        <w:tab w:val="clear" w:pos="720"/>
        <w:tab w:val="left" w:pos="432" w:leader="none"/>
        <w:tab w:val="center" w:pos="4320" w:leader="none"/>
        <w:tab w:val="right" w:pos="8640" w:leader="none"/>
      </w:tabs>
      <w:jc w:val="both"/>
    </w:pPr>
    <w:rPr>
      <w:rFonts w:ascii="Helvetica;Arial" w:hAnsi="Helvetica;Arial" w:cs="Helvetica;Arial"/>
      <w:sz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Base"/>
    <w:pPr/>
    <w:rPr/>
  </w:style>
  <w:style w:type="paragraph" w:styleId="Header">
    <w:name w:val="header"/>
    <w:basedOn w:val="HeaderBase"/>
    <w:pPr/>
    <w:rPr/>
  </w:style>
  <w:style w:type="paragraph" w:styleId="Closed">
    <w:name w:val="Closed"/>
    <w:basedOn w:val="Normal"/>
    <w:qFormat/>
    <w:pPr/>
    <w:rPr/>
  </w:style>
  <w:style w:type="paragraph" w:styleId="CompanyName">
    <w:name w:val="CompanyName"/>
    <w:basedOn w:val="Header"/>
    <w:qFormat/>
    <w:pPr>
      <w:keepLines w:val="false"/>
      <w:tabs>
        <w:tab w:val="clear" w:pos="432"/>
        <w:tab w:val="center" w:pos="4320" w:leader="none"/>
        <w:tab w:val="right" w:pos="8640" w:leader="none"/>
      </w:tabs>
      <w:jc w:val="start"/>
    </w:pPr>
    <w:rPr>
      <w:rFonts w:ascii="Arial" w:hAnsi="Arial" w:cs="Arial"/>
      <w:b/>
      <w:i/>
      <w:sz w:val="20"/>
    </w:rPr>
  </w:style>
  <w:style w:type="paragraph" w:styleId="SubmittedTo">
    <w:name w:val="SubmittedTo"/>
    <w:basedOn w:val="Header"/>
    <w:qFormat/>
    <w:pPr>
      <w:keepLines w:val="false"/>
      <w:tabs>
        <w:tab w:val="clear" w:pos="432"/>
        <w:tab w:val="center" w:pos="4320" w:leader="none"/>
        <w:tab w:val="right" w:pos="8640" w:leader="none"/>
      </w:tabs>
      <w:jc w:val="start"/>
    </w:pPr>
    <w:rPr>
      <w:rFonts w:ascii="Arial" w:hAnsi="Arial" w:cs="Arial"/>
      <w:sz w:val="20"/>
    </w:rPr>
  </w:style>
  <w:style w:type="paragraph" w:styleId="SubmittedBy">
    <w:name w:val="SubmittedBy"/>
    <w:basedOn w:val="Header"/>
    <w:qFormat/>
    <w:pPr>
      <w:keepLines w:val="false"/>
      <w:tabs>
        <w:tab w:val="clear" w:pos="432"/>
        <w:tab w:val="center" w:pos="4320" w:leader="none"/>
        <w:tab w:val="right" w:pos="8640" w:leader="none"/>
      </w:tabs>
      <w:jc w:val="start"/>
    </w:pPr>
    <w:rPr>
      <w:rFonts w:ascii="Arial" w:hAnsi="Arial" w:cs="Arial"/>
      <w:sz w:val="20"/>
    </w:rPr>
  </w:style>
  <w:style w:type="paragraph" w:styleId="qheading0">
    <w:name w:val="q heading0"/>
    <w:basedOn w:val="Normal"/>
    <w:qFormat/>
    <w:pPr>
      <w:pBdr>
        <w:bottom w:val="single" w:sz="6" w:space="1" w:color="000000"/>
      </w:pBdr>
      <w:shd w:fill="000000" w:val="clear"/>
      <w:spacing w:before="0" w:after="240"/>
      <w:jc w:val="center"/>
    </w:pPr>
    <w:rPr>
      <w:rFonts w:ascii="Helvetica;Arial" w:hAnsi="Helvetica;Arial" w:cs="Helvetica;Arial"/>
      <w:b/>
      <w:sz w:val="28"/>
    </w:rPr>
  </w:style>
  <w:style w:type="paragraph" w:styleId="QTEXT">
    <w:name w:val="Q TEXT"/>
    <w:basedOn w:val="Normal"/>
    <w:qFormat/>
    <w:pPr>
      <w:spacing w:lineRule="auto" w:line="228" w:before="20" w:after="20"/>
      <w:jc w:val="both"/>
    </w:pPr>
    <w:rPr>
      <w:rFonts w:ascii="Palatino;Book Antiqua" w:hAnsi="Palatino;Book Antiqua" w:cs="Palatino;Book Antiqua"/>
      <w:spacing w:val="-5"/>
      <w:sz w:val="20"/>
    </w:rPr>
  </w:style>
  <w:style w:type="paragraph" w:styleId="QPARAW0PRESPACE">
    <w:name w:val="Q PARA W/0 PRESPACE"/>
    <w:basedOn w:val="QTEXT"/>
    <w:qFormat/>
    <w:pPr>
      <w:spacing w:before="0" w:after="20"/>
    </w:pPr>
    <w:rPr/>
  </w:style>
  <w:style w:type="paragraph" w:styleId="QBULLET">
    <w:name w:val="Q BULLET"/>
    <w:basedOn w:val="QTEXT"/>
    <w:qFormat/>
    <w:pPr>
      <w:numPr>
        <w:ilvl w:val="0"/>
        <w:numId w:val="13"/>
      </w:numPr>
      <w:ind w:hanging="360" w:start="360" w:end="360"/>
      <w:jc w:val="start"/>
    </w:pPr>
    <w:rPr/>
  </w:style>
  <w:style w:type="paragraph" w:styleId="Qauthor">
    <w:name w:val="Q author"/>
    <w:basedOn w:val="Normal"/>
    <w:qFormat/>
    <w:pPr>
      <w:spacing w:before="0" w:after="300"/>
      <w:jc w:val="center"/>
    </w:pPr>
    <w:rPr>
      <w:rFonts w:ascii="Palatino;Book Antiqua" w:hAnsi="Palatino;Book Antiqua" w:cs="Palatino;Book Antiqua"/>
    </w:rPr>
  </w:style>
  <w:style w:type="paragraph" w:styleId="QHEAD">
    <w:name w:val="Q HEAD"/>
    <w:basedOn w:val="qheading0"/>
    <w:qFormat/>
    <w:pPr>
      <w:pBdr>
        <w:bottom w:val="single" w:sz="6" w:space="0" w:color="000000"/>
      </w:pBdr>
    </w:pPr>
    <w:rPr>
      <w:sz w:val="24"/>
    </w:rPr>
  </w:style>
  <w:style w:type="paragraph" w:styleId="QSMALLHEAD">
    <w:name w:val="Q SMALL HEAD"/>
    <w:basedOn w:val="Normal"/>
    <w:qFormat/>
    <w:pPr>
      <w:pBdr>
        <w:top w:val="double" w:sz="12" w:space="0" w:color="000000"/>
        <w:bottom w:val="double" w:sz="12" w:space="0" w:color="000000"/>
      </w:pBdr>
      <w:shd w:fill="000000" w:val="clear"/>
      <w:spacing w:before="240" w:after="160"/>
      <w:jc w:val="center"/>
    </w:pPr>
    <w:rPr>
      <w:rFonts w:ascii="Arial" w:hAnsi="Arial" w:cs="Arial"/>
      <w:b/>
      <w:i/>
    </w:rPr>
  </w:style>
  <w:style w:type="paragraph" w:styleId="QBULLETLAST">
    <w:name w:val="Q BULLET LAST"/>
    <w:basedOn w:val="QBULLET"/>
    <w:qFormat/>
    <w:pPr>
      <w:spacing w:before="20" w:after="240"/>
    </w:pPr>
    <w:rPr/>
  </w:style>
  <w:style w:type="paragraph" w:styleId="frametitle">
    <w:name w:val="frametitle"/>
    <w:next w:val="Normal"/>
    <w:qFormat/>
    <w:pPr>
      <w:keepNext w:val="true"/>
      <w:widowControl/>
      <w:bidi w:val="0"/>
      <w:spacing w:lineRule="exact" w:line="240"/>
    </w:pPr>
    <w:rPr>
      <w:rFonts w:ascii="Helvetica;Arial" w:hAnsi="Helvetica;Arial" w:eastAsia="Times New Roman" w:cs="Helvetica;Arial"/>
      <w:b/>
      <w:color w:val="FF0000"/>
      <w:sz w:val="20"/>
      <w:szCs w:val="20"/>
      <w:lang w:val="en-US" w:eastAsia="zh-CN" w:bidi="hi-IN"/>
    </w:rPr>
  </w:style>
  <w:style w:type="paragraph" w:styleId="TABLE">
    <w:name w:val="TABLE"/>
    <w:basedOn w:val="Normal"/>
    <w:qFormat/>
    <w:pPr>
      <w:keepNext w:val="true"/>
      <w:keepLines/>
    </w:pPr>
    <w:rPr>
      <w:rFonts w:ascii="Helvetica;Arial" w:hAnsi="Helvetica;Arial" w:cs="Helvetica;Arial"/>
      <w:spacing w:val="-5"/>
    </w:rPr>
  </w:style>
  <w:style w:type="paragraph" w:styleId="subpara">
    <w:name w:val="subpara"/>
    <w:qFormat/>
    <w:pPr>
      <w:widowControl/>
      <w:numPr>
        <w:ilvl w:val="0"/>
        <w:numId w:val="12"/>
      </w:numPr>
      <w:tabs>
        <w:tab w:val="clear" w:pos="720"/>
        <w:tab w:val="left" w:pos="288" w:leader="none"/>
      </w:tabs>
      <w:bidi w:val="0"/>
      <w:spacing w:lineRule="exact" w:line="240" w:before="0" w:after="101"/>
    </w:pPr>
    <w:rPr>
      <w:rFonts w:ascii="Times New Roman" w:hAnsi="Times New Roman" w:eastAsia="Times New Roman" w:cs="Times New Roman"/>
      <w:color w:val="008000"/>
      <w:spacing w:val="-5"/>
      <w:sz w:val="20"/>
      <w:szCs w:val="20"/>
      <w:lang w:val="en-US" w:eastAsia="zh-CN" w:bidi="hi-IN"/>
    </w:rPr>
  </w:style>
  <w:style w:type="paragraph" w:styleId="FootnoteText">
    <w:name w:val="footnote text"/>
    <w:basedOn w:val="Normal"/>
    <w:pPr/>
    <w:rPr>
      <w:sz w:val="20"/>
    </w:rPr>
  </w:style>
  <w:style w:type="paragraph" w:styleId="Heading0">
    <w:name w:val="Heading 0"/>
    <w:basedOn w:val="Heading1"/>
    <w:qFormat/>
    <w:pPr>
      <w:numPr>
        <w:ilvl w:val="0"/>
        <w:numId w:val="0"/>
      </w:numPr>
      <w:spacing w:before="0" w:after="120"/>
      <w:outlineLvl w:val="9"/>
    </w:pPr>
    <w:rPr/>
  </w:style>
  <w:style w:type="paragraph" w:styleId="QIMAGEMAP">
    <w:name w:val="Q IMAGE MAP"/>
    <w:basedOn w:val="QTEXT"/>
    <w:qFormat/>
    <w:pPr>
      <w:spacing w:lineRule="auto" w:line="240" w:before="80" w:after="20"/>
      <w:jc w:val="center"/>
    </w:pPr>
    <w:rPr>
      <w:b/>
      <w:sz w:val="24"/>
    </w:rPr>
  </w:style>
  <w:style w:type="paragraph" w:styleId="QHEADING">
    <w:name w:val="Q HEADING"/>
    <w:basedOn w:val="Heading2"/>
    <w:qFormat/>
    <w:pPr>
      <w:keepNext w:val="false"/>
      <w:keepLines w:val="false"/>
      <w:numPr>
        <w:ilvl w:val="0"/>
        <w:numId w:val="0"/>
      </w:numPr>
      <w:pBdr>
        <w:bottom w:val="single" w:sz="6" w:space="1" w:color="000000"/>
      </w:pBdr>
      <w:shd w:fill="000000" w:val="clear"/>
      <w:suppressAutoHyphens w:val="false"/>
      <w:spacing w:before="360" w:after="120"/>
      <w:jc w:val="center"/>
      <w:outlineLvl w:val="9"/>
    </w:pPr>
    <w:rPr>
      <w:color w:val="auto"/>
      <w:sz w:val="28"/>
      <w:lang w:val="en-US"/>
    </w:rPr>
  </w:style>
  <w:style w:type="paragraph" w:styleId="qtexthead">
    <w:name w:val="q texthead"/>
    <w:basedOn w:val="QTEXT"/>
    <w:qFormat/>
    <w:pPr>
      <w:spacing w:lineRule="auto" w:line="240" w:before="120" w:after="20"/>
      <w:jc w:val="start"/>
    </w:pPr>
    <w:rPr>
      <w:rFonts w:ascii="Palatino;Book Antiqua" w:hAnsi="Palatino;Book Antiqua" w:cs="Palatino;Book Antiqua"/>
      <w:sz w:val="20"/>
    </w:rPr>
  </w:style>
  <w:style w:type="paragraph" w:styleId="QIMAGEHEADING">
    <w:name w:val="Q IMAGE HEADING"/>
    <w:basedOn w:val="QTEXT"/>
    <w:qFormat/>
    <w:pPr>
      <w:spacing w:lineRule="auto" w:line="240" w:before="240" w:after="240"/>
      <w:jc w:val="start"/>
    </w:pPr>
    <w:rPr>
      <w:b/>
      <w:sz w:val="24"/>
    </w:rPr>
  </w:style>
  <w:style w:type="paragraph" w:styleId="xsstitle">
    <w:name w:val="xss_title"/>
    <w:next w:val="Normal"/>
    <w:qFormat/>
    <w:pPr>
      <w:widowControl/>
      <w:suppressAutoHyphens w:val="true"/>
      <w:bidi w:val="0"/>
      <w:spacing w:before="0" w:after="72"/>
      <w:jc w:val="end"/>
    </w:pPr>
    <w:rPr>
      <w:rFonts w:ascii="Helvetica;Arial" w:hAnsi="Helvetica;Arial" w:eastAsia="Times New Roman" w:cs="Helvetica;Arial"/>
      <w:b/>
      <w:color w:val="0000FF"/>
      <w:sz w:val="48"/>
      <w:szCs w:val="20"/>
      <w:lang w:val="en-US" w:eastAsia="zh-CN" w:bidi="hi-IN"/>
    </w:rPr>
  </w:style>
  <w:style w:type="paragraph" w:styleId="xsssubtitle">
    <w:name w:val="xss_subtitle"/>
    <w:qFormat/>
    <w:pPr>
      <w:widowControl/>
      <w:bidi w:val="0"/>
      <w:spacing w:before="0" w:after="520"/>
      <w:jc w:val="end"/>
    </w:pPr>
    <w:rPr>
      <w:rFonts w:ascii="Helvetica;Arial" w:hAnsi="Helvetica;Arial" w:eastAsia="Times New Roman" w:cs="Helvetica;Arial"/>
      <w:i/>
      <w:color w:val="FF0000"/>
      <w:spacing w:val="30"/>
      <w:sz w:val="24"/>
      <w:szCs w:val="20"/>
      <w:lang w:val="en-CA" w:eastAsia="zh-CN" w:bidi="hi-IN"/>
    </w:rPr>
  </w:style>
  <w:style w:type="paragraph" w:styleId="boldline">
    <w:name w:val="bold line"/>
    <w:basedOn w:val="Normal"/>
    <w:qFormat/>
    <w:pPr>
      <w:tabs>
        <w:tab w:val="clear" w:pos="720"/>
        <w:tab w:val="left" w:pos="8640" w:leader="none"/>
      </w:tabs>
      <w:spacing w:lineRule="atLeast" w:line="240" w:before="0" w:after="360"/>
      <w:jc w:val="both"/>
    </w:pPr>
    <w:rPr>
      <w:rFonts w:ascii="Helvetica;Arial" w:hAnsi="Helvetica;Arial" w:cs="Helvetica;Arial"/>
      <w:b/>
      <w:sz w:val="20"/>
      <w:u w:val="double"/>
    </w:rPr>
  </w:style>
  <w:style w:type="paragraph" w:styleId="xsscopyright">
    <w:name w:val="xss_copyright"/>
    <w:qFormat/>
    <w:pPr>
      <w:widowControl/>
      <w:bidi w:val="0"/>
    </w:pPr>
    <w:rPr>
      <w:rFonts w:ascii="Helvetica;Arial" w:hAnsi="Helvetica;Arial" w:eastAsia="Times New Roman" w:cs="Helvetica;Arial"/>
      <w:color w:val="auto"/>
      <w:sz w:val="12"/>
      <w:szCs w:val="20"/>
      <w:lang w:val="en-US" w:eastAsia="zh-CN" w:bidi="hi-IN"/>
    </w:rPr>
  </w:style>
  <w:style w:type="paragraph" w:styleId="table1">
    <w:name w:val="table1"/>
    <w:next w:val="Normal"/>
    <w:qFormat/>
    <w:pPr>
      <w:widowControl/>
      <w:bidi w:val="0"/>
      <w:spacing w:lineRule="exact" w:line="260"/>
    </w:pPr>
    <w:rPr>
      <w:rFonts w:ascii="Helvetica;Arial" w:hAnsi="Helvetica;Arial" w:eastAsia="Times New Roman" w:cs="Helvetica;Arial"/>
      <w:color w:val="auto"/>
      <w:spacing w:val="-5"/>
      <w:sz w:val="20"/>
      <w:szCs w:val="20"/>
      <w:lang w:val="en-US" w:eastAsia="zh-CN" w:bidi="hi-IN"/>
    </w:rPr>
  </w:style>
  <w:style w:type="paragraph" w:styleId="BodyText2">
    <w:name w:val="Body Text 2"/>
    <w:basedOn w:val="Normal"/>
    <w:qFormat/>
    <w:pPr>
      <w:spacing w:lineRule="auto" w:line="288"/>
      <w:jc w:val="center"/>
    </w:pPr>
    <w:rPr>
      <w:sz w:val="24"/>
    </w:rPr>
  </w:style>
  <w:style w:type="paragraph" w:styleId="mmfigure">
    <w:name w:val="mm_figure"/>
    <w:next w:val="Normal"/>
    <w:qFormat/>
    <w:pPr>
      <w:widowControl/>
      <w:suppressAutoHyphens w:val="true"/>
      <w:bidi w:val="0"/>
      <w:spacing w:before="0" w:after="144"/>
    </w:pPr>
    <w:rPr>
      <w:rFonts w:ascii="Helvetica;Arial" w:hAnsi="Helvetica;Arial" w:eastAsia="Times New Roman" w:cs="Helvetica;Arial"/>
      <w:color w:val="auto"/>
      <w:sz w:val="20"/>
      <w:szCs w:val="20"/>
      <w:lang w:val="en-US" w:eastAsia="zh-CN" w:bidi="hi-IN"/>
    </w:rPr>
  </w:style>
  <w:style w:type="paragraph" w:styleId="BlockText">
    <w:name w:val="Block Text"/>
    <w:basedOn w:val="Normal"/>
    <w:qFormat/>
    <w:pPr>
      <w:spacing w:before="0" w:after="120"/>
      <w:ind w:hanging="0" w:start="1440" w:end="1440"/>
    </w:pPr>
    <w:rPr/>
  </w:style>
  <w:style w:type="paragraph" w:styleId="BodyText3">
    <w:name w:val="Body Text 3"/>
    <w:basedOn w:val="Normal"/>
    <w:qFormat/>
    <w:pPr>
      <w:spacing w:before="0" w:after="120"/>
    </w:pPr>
    <w:rPr>
      <w:sz w:val="16"/>
    </w:rPr>
  </w:style>
  <w:style w:type="paragraph" w:styleId="BodyTextFirstIndent">
    <w:name w:val="Body Text First Indent"/>
    <w:basedOn w:val="BodyText"/>
    <w:qFormat/>
    <w:pPr>
      <w:tabs>
        <w:tab w:val="clear" w:pos="432"/>
      </w:tabs>
      <w:ind w:firstLine="210" w:start="0" w:end="0"/>
      <w:jc w:val="start"/>
    </w:pPr>
    <w:rPr/>
  </w:style>
  <w:style w:type="paragraph" w:styleId="BodyTextIndent">
    <w:name w:val="Body Text Indent"/>
    <w:basedOn w:val="Normal"/>
    <w:pPr>
      <w:spacing w:before="0" w:after="120"/>
      <w:ind w:hanging="0" w:start="360" w:end="0"/>
    </w:pPr>
    <w:rPr/>
  </w:style>
  <w:style w:type="paragraph" w:styleId="BodyTextFirstIndent2">
    <w:name w:val="Body Text First Indent 2"/>
    <w:basedOn w:val="BodyTextIndent"/>
    <w:qFormat/>
    <w:pPr>
      <w:ind w:firstLine="210" w:start="360" w:end="0"/>
    </w:pPr>
    <w:rPr/>
  </w:style>
  <w:style w:type="paragraph" w:styleId="BodyTextIndent2">
    <w:name w:val="Body Text Indent 2"/>
    <w:basedOn w:val="Normal"/>
    <w:qFormat/>
    <w:pPr>
      <w:spacing w:lineRule="auto" w:line="480" w:before="0" w:after="120"/>
      <w:ind w:hanging="0" w:start="360" w:end="0"/>
    </w:pPr>
    <w:rPr/>
  </w:style>
  <w:style w:type="paragraph" w:styleId="BodyTextIndent3">
    <w:name w:val="Body Text Indent 3"/>
    <w:basedOn w:val="Normal"/>
    <w:qFormat/>
    <w:pPr>
      <w:spacing w:before="0" w:after="120"/>
      <w:ind w:hanging="0" w:start="360" w:end="0"/>
    </w:pPr>
    <w:rPr>
      <w:sz w:val="16"/>
    </w:rPr>
  </w:style>
  <w:style w:type="paragraph" w:styleId="Closing">
    <w:name w:val="Closing"/>
    <w:basedOn w:val="Normal"/>
    <w:qFormat/>
    <w:pPr>
      <w:ind w:hanging="0" w:start="4320" w:end="0"/>
    </w:pPr>
    <w:rPr/>
  </w:style>
  <w:style w:type="paragraph" w:styleId="CommentText">
    <w:name w:val="Comment Text"/>
    <w:basedOn w:val="Normal"/>
    <w:qFormat/>
    <w:pPr/>
    <w:rPr>
      <w:sz w:val="20"/>
    </w:rPr>
  </w:style>
  <w:style w:type="paragraph" w:styleId="Date">
    <w:name w:val="Date"/>
    <w:basedOn w:val="Normal"/>
    <w:next w:val="Normal"/>
    <w:qFormat/>
    <w:pPr/>
    <w:rPr/>
  </w:style>
  <w:style w:type="paragraph" w:styleId="DocumentMap">
    <w:name w:val="Document Map"/>
    <w:basedOn w:val="Normal"/>
    <w:qFormat/>
    <w:pPr>
      <w:shd w:fill="000080" w:val="clear"/>
    </w:pPr>
    <w:rPr>
      <w:rFonts w:ascii="Tahoma" w:hAnsi="Tahoma" w:cs="Tahoma"/>
    </w:rPr>
  </w:style>
  <w:style w:type="paragraph" w:styleId="EndnoteText">
    <w:name w:val="endnote text"/>
    <w:basedOn w:val="Normal"/>
    <w:pPr/>
    <w:rPr>
      <w:sz w:val="20"/>
    </w:rPr>
  </w:style>
  <w:style w:type="paragraph" w:styleId="EnvelopeAddress">
    <w:name w:val="envelope address"/>
    <w:basedOn w:val="Normal"/>
    <w:pPr>
      <w:ind w:hanging="0" w:start="2880" w:end="0"/>
    </w:pPr>
    <w:rPr>
      <w:rFonts w:ascii="Arial" w:hAnsi="Arial" w:cs="Arial"/>
      <w:sz w:val="24"/>
    </w:rPr>
  </w:style>
  <w:style w:type="paragraph" w:styleId="EnvelopeReturn">
    <w:name w:val="envelope return"/>
    <w:basedOn w:val="Normal"/>
    <w:pPr/>
    <w:rPr>
      <w:rFonts w:ascii="Arial" w:hAnsi="Arial" w:cs="Arial"/>
      <w:sz w:val="20"/>
    </w:rPr>
  </w:style>
  <w:style w:type="paragraph" w:styleId="Index1">
    <w:name w:val="index 1"/>
    <w:basedOn w:val="Normal"/>
    <w:next w:val="Normal"/>
    <w:pPr>
      <w:ind w:hanging="210" w:start="210" w:end="0"/>
    </w:pPr>
    <w:rPr>
      <w:sz w:val="4"/>
    </w:rPr>
  </w:style>
  <w:style w:type="paragraph" w:styleId="Index2">
    <w:name w:val="index 2"/>
    <w:basedOn w:val="Normal"/>
    <w:next w:val="Normal"/>
    <w:pPr>
      <w:ind w:hanging="210" w:start="420" w:end="0"/>
    </w:pPr>
    <w:rPr/>
  </w:style>
  <w:style w:type="paragraph" w:styleId="Index3">
    <w:name w:val="index 3"/>
    <w:basedOn w:val="Normal"/>
    <w:next w:val="Normal"/>
    <w:pPr>
      <w:ind w:hanging="210" w:start="630" w:end="0"/>
    </w:pPr>
    <w:rPr/>
  </w:style>
  <w:style w:type="paragraph" w:styleId="Index4">
    <w:name w:val="Index 4"/>
    <w:basedOn w:val="Normal"/>
    <w:next w:val="Normal"/>
    <w:qFormat/>
    <w:pPr>
      <w:ind w:hanging="210" w:start="840" w:end="0"/>
    </w:pPr>
    <w:rPr/>
  </w:style>
  <w:style w:type="paragraph" w:styleId="Index5">
    <w:name w:val="Index 5"/>
    <w:basedOn w:val="Normal"/>
    <w:next w:val="Normal"/>
    <w:qFormat/>
    <w:pPr>
      <w:ind w:hanging="210" w:start="1050" w:end="0"/>
    </w:pPr>
    <w:rPr/>
  </w:style>
  <w:style w:type="paragraph" w:styleId="Index6">
    <w:name w:val="Index 6"/>
    <w:basedOn w:val="Normal"/>
    <w:next w:val="Normal"/>
    <w:qFormat/>
    <w:pPr>
      <w:ind w:hanging="210" w:start="1260" w:end="0"/>
    </w:pPr>
    <w:rPr/>
  </w:style>
  <w:style w:type="paragraph" w:styleId="Index7">
    <w:name w:val="Index 7"/>
    <w:basedOn w:val="Normal"/>
    <w:next w:val="Normal"/>
    <w:qFormat/>
    <w:pPr>
      <w:ind w:hanging="210" w:start="1470" w:end="0"/>
    </w:pPr>
    <w:rPr/>
  </w:style>
  <w:style w:type="paragraph" w:styleId="Index8">
    <w:name w:val="Index 8"/>
    <w:basedOn w:val="Normal"/>
    <w:next w:val="Normal"/>
    <w:qFormat/>
    <w:pPr>
      <w:ind w:hanging="210" w:start="1680" w:end="0"/>
    </w:pPr>
    <w:rPr/>
  </w:style>
  <w:style w:type="paragraph" w:styleId="Index9">
    <w:name w:val="Index 9"/>
    <w:basedOn w:val="Normal"/>
    <w:next w:val="Normal"/>
    <w:qFormat/>
    <w:pPr>
      <w:ind w:hanging="210" w:start="1890" w:end="0"/>
    </w:pPr>
    <w:rPr/>
  </w:style>
  <w:style w:type="paragraph" w:styleId="IndexHeading">
    <w:name w:val="index heading"/>
    <w:basedOn w:val="Normal"/>
    <w:next w:val="Index1"/>
    <w:pPr/>
    <w:rPr>
      <w:rFonts w:ascii="Arial" w:hAnsi="Arial" w:cs="Arial"/>
      <w:b/>
    </w:rPr>
  </w:style>
  <w:style w:type="paragraph" w:styleId="ListBullet2">
    <w:name w:val="List Bullet 2"/>
    <w:basedOn w:val="Normal"/>
    <w:pPr>
      <w:ind w:hanging="360" w:start="720" w:end="0"/>
    </w:pPr>
    <w:rPr/>
  </w:style>
  <w:style w:type="paragraph" w:styleId="ListBullet3">
    <w:name w:val="List Bullet 3"/>
    <w:basedOn w:val="Normal"/>
    <w:pPr>
      <w:ind w:hanging="360" w:start="1080" w:end="0"/>
    </w:pPr>
    <w:rPr/>
  </w:style>
  <w:style w:type="paragraph" w:styleId="ListBullet4">
    <w:name w:val="List Bullet 4"/>
    <w:basedOn w:val="Normal"/>
    <w:pPr>
      <w:ind w:hanging="360" w:start="1440" w:end="0"/>
    </w:pPr>
    <w:rPr/>
  </w:style>
  <w:style w:type="paragraph" w:styleId="ListBullet5">
    <w:name w:val="List Bullet 5"/>
    <w:basedOn w:val="Normal"/>
    <w:pPr>
      <w:ind w:hanging="360" w:start="1800" w:end="0"/>
    </w:pPr>
    <w:rPr/>
  </w:style>
  <w:style w:type="paragraph" w:styleId="ListBullet">
    <w:name w:val="List Bullet"/>
    <w:basedOn w:val="Normal"/>
    <w:qFormat/>
    <w:pPr>
      <w:numPr>
        <w:ilvl w:val="0"/>
        <w:numId w:val="11"/>
      </w:numPr>
    </w:pPr>
    <w:rPr/>
  </w:style>
  <w:style w:type="paragraph" w:styleId="ListBullet21">
    <w:name w:val="List Bullet 21"/>
    <w:basedOn w:val="Normal"/>
    <w:qFormat/>
    <w:pPr>
      <w:numPr>
        <w:ilvl w:val="0"/>
        <w:numId w:val="9"/>
      </w:numPr>
    </w:pPr>
    <w:rPr/>
  </w:style>
  <w:style w:type="paragraph" w:styleId="ListBullet31">
    <w:name w:val="List Bullet 31"/>
    <w:basedOn w:val="Normal"/>
    <w:qFormat/>
    <w:pPr>
      <w:numPr>
        <w:ilvl w:val="0"/>
        <w:numId w:val="8"/>
      </w:numPr>
    </w:pPr>
    <w:rPr/>
  </w:style>
  <w:style w:type="paragraph" w:styleId="ListBullet41">
    <w:name w:val="List Bullet 41"/>
    <w:basedOn w:val="Normal"/>
    <w:qFormat/>
    <w:pPr>
      <w:numPr>
        <w:ilvl w:val="0"/>
        <w:numId w:val="7"/>
      </w:numPr>
    </w:pPr>
    <w:rPr/>
  </w:style>
  <w:style w:type="paragraph" w:styleId="ListBullet51">
    <w:name w:val="List Bullet 51"/>
    <w:basedOn w:val="Normal"/>
    <w:qFormat/>
    <w:pPr>
      <w:numPr>
        <w:ilvl w:val="0"/>
        <w:numId w:val="6"/>
      </w:numPr>
    </w:pPr>
    <w:rPr/>
  </w:style>
  <w:style w:type="paragraph" w:styleId="ListContinue">
    <w:name w:val="List Continue"/>
    <w:basedOn w:val="Normal"/>
    <w:qFormat/>
    <w:pPr>
      <w:spacing w:before="0" w:after="120"/>
      <w:ind w:hanging="0" w:start="360" w:end="0"/>
    </w:pPr>
    <w:rPr/>
  </w:style>
  <w:style w:type="paragraph" w:styleId="ListContinue2">
    <w:name w:val="List Continue 2"/>
    <w:basedOn w:val="Normal"/>
    <w:qFormat/>
    <w:pPr>
      <w:spacing w:before="0" w:after="120"/>
      <w:ind w:hanging="0" w:start="72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10"/>
      </w:numPr>
    </w:pPr>
    <w:rPr/>
  </w:style>
  <w:style w:type="paragraph" w:styleId="ListNumber2">
    <w:name w:val="List Number 2"/>
    <w:basedOn w:val="Normal"/>
    <w:qFormat/>
    <w:pPr>
      <w:numPr>
        <w:ilvl w:val="0"/>
        <w:numId w:val="5"/>
      </w:numPr>
    </w:pPr>
    <w:rPr/>
  </w:style>
  <w:style w:type="paragraph" w:styleId="ListNumber3">
    <w:name w:val="List Number 3"/>
    <w:basedOn w:val="Normal"/>
    <w:qFormat/>
    <w:pPr>
      <w:numPr>
        <w:ilvl w:val="0"/>
        <w:numId w:val="4"/>
      </w:numPr>
    </w:pPr>
    <w:rPr/>
  </w:style>
  <w:style w:type="paragraph" w:styleId="ListNumber4">
    <w:name w:val="List Number 4"/>
    <w:basedOn w:val="Normal"/>
    <w:qFormat/>
    <w:pPr>
      <w:numPr>
        <w:ilvl w:val="0"/>
        <w:numId w:val="3"/>
      </w:numPr>
    </w:pPr>
    <w:rPr/>
  </w:style>
  <w:style w:type="paragraph" w:styleId="ListNumber5">
    <w:name w:val="List Number 5"/>
    <w:basedOn w:val="Normal"/>
    <w:qFormat/>
    <w:pPr>
      <w:numPr>
        <w:ilvl w:val="0"/>
        <w:numId w:val="2"/>
      </w:numPr>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Courier New"/>
      <w:color w:val="auto"/>
      <w:sz w:val="20"/>
      <w:szCs w:val="20"/>
      <w:lang w:val="en-US" w:eastAsia="zh-CN" w:bidi="hi-I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sz w:val="24"/>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PlainText">
    <w:name w:val="Plain Text"/>
    <w:basedOn w:val="Normal"/>
    <w:qFormat/>
    <w:pPr/>
    <w:rPr>
      <w:rFonts w:ascii="Courier New" w:hAnsi="Courier New" w:cs="Courier New"/>
      <w:sz w:val="20"/>
    </w:rPr>
  </w:style>
  <w:style w:type="paragraph" w:styleId="Salutation">
    <w:name w:val="Salutation"/>
    <w:basedOn w:val="Normal"/>
    <w:next w:val="Normal"/>
    <w:qFormat/>
    <w:pPr/>
    <w:rPr/>
  </w:style>
  <w:style w:type="paragraph" w:styleId="Signature">
    <w:name w:val="Signature"/>
    <w:basedOn w:val="Normal"/>
    <w:pPr>
      <w:ind w:hanging="0" w:start="4320" w:end="0"/>
    </w:pPr>
    <w:rPr/>
  </w:style>
  <w:style w:type="paragraph" w:styleId="Subtitle">
    <w:name w:val="Subtitle"/>
    <w:basedOn w:val="Normal"/>
    <w:next w:val="BodyText"/>
    <w:qFormat/>
    <w:pPr>
      <w:spacing w:before="0" w:after="60"/>
      <w:jc w:val="center"/>
      <w:outlineLvl w:val="1"/>
    </w:pPr>
    <w:rPr>
      <w:rFonts w:ascii="Arial" w:hAnsi="Arial" w:cs="Arial"/>
      <w:sz w:val="24"/>
    </w:rPr>
  </w:style>
  <w:style w:type="paragraph" w:styleId="TableofAuthorities">
    <w:name w:val="Table of Authorities"/>
    <w:basedOn w:val="Normal"/>
    <w:next w:val="Normal"/>
    <w:qFormat/>
    <w:pPr>
      <w:ind w:hanging="210" w:start="210" w:end="0"/>
    </w:pPr>
    <w:rPr/>
  </w:style>
  <w:style w:type="paragraph" w:styleId="TableofFigures">
    <w:name w:val="Table of Figures"/>
    <w:basedOn w:val="Normal"/>
    <w:next w:val="Normal"/>
    <w:qFormat/>
    <w:pPr>
      <w:ind w:hanging="420" w:start="420" w:end="0"/>
    </w:pPr>
    <w:rPr/>
  </w:style>
  <w:style w:type="paragraph" w:styleId="TOAHeading">
    <w:name w:val="TOA Heading"/>
    <w:basedOn w:val="Normal"/>
    <w:next w:val="Normal"/>
    <w:qFormat/>
    <w:pPr>
      <w:spacing w:before="120" w:after="0"/>
    </w:pPr>
    <w:rPr>
      <w:rFonts w:ascii="Arial" w:hAnsi="Arial" w:cs="Arial"/>
      <w:b/>
      <w:sz w:val="24"/>
    </w:rPr>
  </w:style>
  <w:style w:type="paragraph" w:styleId="TOC1">
    <w:name w:val="toc 1"/>
    <w:basedOn w:val="Normal"/>
    <w:next w:val="Normal"/>
    <w:pPr/>
    <w:rPr/>
  </w:style>
  <w:style w:type="paragraph" w:styleId="TOC2">
    <w:name w:val="toc 2"/>
    <w:basedOn w:val="Normal"/>
    <w:next w:val="Normal"/>
    <w:pPr>
      <w:ind w:hanging="0" w:start="210" w:end="0"/>
    </w:pPr>
    <w:rPr/>
  </w:style>
  <w:style w:type="paragraph" w:styleId="TOC3">
    <w:name w:val="toc 3"/>
    <w:basedOn w:val="Normal"/>
    <w:next w:val="Normal"/>
    <w:pPr>
      <w:ind w:hanging="0" w:start="420" w:end="0"/>
    </w:pPr>
    <w:rPr/>
  </w:style>
  <w:style w:type="paragraph" w:styleId="TOC4">
    <w:name w:val="toc 4"/>
    <w:basedOn w:val="Normal"/>
    <w:next w:val="Normal"/>
    <w:pPr>
      <w:ind w:hanging="0" w:start="630" w:end="0"/>
    </w:pPr>
    <w:rPr/>
  </w:style>
  <w:style w:type="paragraph" w:styleId="TOC5">
    <w:name w:val="toc 5"/>
    <w:basedOn w:val="Normal"/>
    <w:next w:val="Normal"/>
    <w:pPr>
      <w:ind w:hanging="0" w:start="840" w:end="0"/>
    </w:pPr>
    <w:rPr/>
  </w:style>
  <w:style w:type="paragraph" w:styleId="TOC6">
    <w:name w:val="toc 6"/>
    <w:basedOn w:val="Normal"/>
    <w:next w:val="Normal"/>
    <w:pPr>
      <w:ind w:hanging="0" w:start="1050" w:end="0"/>
    </w:pPr>
    <w:rPr/>
  </w:style>
  <w:style w:type="paragraph" w:styleId="TOC7">
    <w:name w:val="toc 7"/>
    <w:basedOn w:val="Normal"/>
    <w:next w:val="Normal"/>
    <w:pPr>
      <w:ind w:hanging="0" w:start="1260" w:end="0"/>
    </w:pPr>
    <w:rPr/>
  </w:style>
  <w:style w:type="paragraph" w:styleId="TOC8">
    <w:name w:val="toc 8"/>
    <w:basedOn w:val="Normal"/>
    <w:next w:val="Normal"/>
    <w:pPr>
      <w:ind w:hanging="0" w:start="1470" w:end="0"/>
    </w:pPr>
    <w:rPr/>
  </w:style>
  <w:style w:type="paragraph" w:styleId="TOC9">
    <w:name w:val="toc 9"/>
    <w:basedOn w:val="Normal"/>
    <w:next w:val="Normal"/>
    <w:pPr>
      <w:ind w:hanging="0" w:start="1680" w:end="0"/>
    </w:pPr>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wmf"/><Relationship Id="rId4" Type="http://schemas.openxmlformats.org/officeDocument/2006/relationships/oleObject" Target="embeddings/oleObject2.bin"/><Relationship Id="rId5" Type="http://schemas.openxmlformats.org/officeDocument/2006/relationships/image" Target="media/image1.wmf"/><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hyperlink" Target="mailto:mcnabb@wefa.com" TargetMode="External"/>
</Relationships>
</file>

<file path=word/_rels/footer2.xml.rels><?xml version="1.0" encoding="UTF-8"?>
<Relationships xmlns="http://schemas.openxmlformats.org/package/2006/relationships"><Relationship Id="rId1" Type="http://schemas.openxmlformats.org/officeDocument/2006/relationships/hyperlink" Target="mailto:mcnabb@wefa.com" TargetMode="Externa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2001-03-21T12:42:00Z</dcterms:created>
  <dc:creator>The WEFA GROUP</dc:creator>
  <dc:description/>
  <dc:language>en-CA</dc:language>
  <cp:lastModifiedBy>Systems Department</cp:lastModifiedBy>
  <cp:lastPrinted>2000-03-02T08:14:00Z</cp:lastPrinted>
  <dcterms:modified xsi:type="dcterms:W3CDTF">2001-03-21T12:42:00Z</dcterms:modified>
  <cp:revision>2</cp:revision>
  <dc:subject/>
  <dc:title>The Economic Cost of Limiting Carbon Emissions:</dc:title>
</cp:coreProperties>
</file>