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8.xml" ContentType="application/vnd.openxmlformats-officedocument.wordprocessingml.footer+xml"/>
  <Override PartName="/word/media/image1.jpeg" ContentType="image/jpeg"/>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header20.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13.xml" ContentType="application/vnd.openxmlformats-officedocument.wordprocessingml.footer+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5938520" cy="1396365"/>
            <wp:effectExtent l="0" t="0" r="0" b="0"/>
            <wp:docPr id="1" name="ERDTG%233%20cop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DTG%233%20copy" descr="" title=""/>
                    <pic:cNvPicPr>
                      <a:picLocks noChangeAspect="1" noChangeArrowheads="1"/>
                    </pic:cNvPicPr>
                  </pic:nvPicPr>
                  <pic:blipFill>
                    <a:blip r:embed="rId2"/>
                    <a:srcRect l="-5" t="-22" r="-5" b="-22"/>
                    <a:stretch>
                      <a:fillRect/>
                    </a:stretch>
                  </pic:blipFill>
                  <pic:spPr bwMode="auto">
                    <a:xfrm>
                      <a:off x="0" y="0"/>
                      <a:ext cx="5938520" cy="1396365"/>
                    </a:xfrm>
                    <a:prstGeom prst="rect">
                      <a:avLst/>
                    </a:prstGeom>
                    <a:noFill/>
                  </pic:spPr>
                </pic:pic>
              </a:graphicData>
            </a:graphic>
          </wp:inline>
        </w:drawing>
      </w:r>
    </w:p>
    <w:p>
      <w:pPr>
        <w:pStyle w:val="Normal"/>
        <w:rPr/>
      </w:pPr>
      <w:r>
        <w:rPr/>
      </w:r>
    </w:p>
    <w:p>
      <w:pPr>
        <w:pStyle w:val="Normal"/>
        <w:rPr/>
      </w:pPr>
      <w:r>
        <w:rPr/>
      </w:r>
    </w:p>
    <w:p>
      <w:pPr>
        <w:pStyle w:val="Normal"/>
        <w:rPr/>
      </w:pPr>
      <w:r>
        <w:rPr/>
        <w:tab/>
        <w:t>Thank you to those who contributed to the success of the inaugural meeting of the Energy Restructuring &amp; Decommissioning Tax Group held at the offices of McDermott, Will &amp; Emery in Chicago on April 25, 2001.  This mailing includes minutes and materials from the meeting, as well as updates on other relevant topics.  If you have not yet officially registered to participate in the group, we hope you will do so in the near future.  A registration form is attached as Item Nine.</w:t>
      </w:r>
    </w:p>
    <w:p>
      <w:pPr>
        <w:pStyle w:val="Normal"/>
        <w:rPr/>
      </w:pPr>
      <w:r>
        <w:rPr/>
      </w:r>
    </w:p>
    <w:p>
      <w:pPr>
        <w:pStyle w:val="Normal"/>
        <w:rPr/>
      </w:pPr>
      <w:r>
        <w:rPr/>
        <w:tab/>
        <w:t>Set forth below is a description of the group's anticipated objectives and agenda.  Based on your suggestions, topics covered by the group will include energy trading issues.  Andie Kramer and Bill Pomierski will also serve as counsel for the group to keep you apprised of issues in this area and to pursue legislative and administrative actions.</w:t>
      </w:r>
    </w:p>
    <w:p>
      <w:pPr>
        <w:pStyle w:val="Normal"/>
        <w:rPr/>
      </w:pPr>
      <w:r>
        <w:rPr/>
      </w:r>
    </w:p>
    <w:p>
      <w:pPr>
        <w:pStyle w:val="Memo-BodyText"/>
        <w:ind w:hanging="0" w:end="0"/>
        <w:jc w:val="start"/>
        <w:rPr>
          <w:b/>
          <w:i/>
          <w:i/>
        </w:rPr>
      </w:pPr>
      <w:r>
        <w:rPr>
          <w:b/>
          <w:i/>
          <w:u w:val="single"/>
        </w:rPr>
        <w:t>Objectives</w:t>
      </w:r>
    </w:p>
    <w:p>
      <w:pPr>
        <w:pStyle w:val="Memo-BodyText"/>
        <w:ind w:firstLine="720" w:end="0"/>
        <w:jc w:val="start"/>
        <w:rPr>
          <w:b/>
        </w:rPr>
      </w:pPr>
      <w:r>
        <w:rPr/>
        <w:t xml:space="preserve">We will keep the members of the group apprised of current developments and tax issues relevant to the energy industry, with a specific focus on nuclear decommissioning, disaggregation, restructuring, and energy trading issues.  Of course, the members of the group will determine the precise issues to be analyzed and pursued.  The group will also actively pursue legislative and administrative tax relief with respect to issues of common interest to members of the group.  The group will be an information-sharing forum for industry tax issues.  </w:t>
      </w:r>
    </w:p>
    <w:p>
      <w:pPr>
        <w:pStyle w:val="Memo-BodyText"/>
        <w:ind w:hanging="0" w:end="0"/>
        <w:jc w:val="start"/>
        <w:rPr>
          <w:b/>
          <w:i/>
          <w:i/>
          <w:u w:val="single"/>
        </w:rPr>
      </w:pPr>
      <w:r>
        <w:rPr>
          <w:b/>
          <w:i/>
          <w:u w:val="single"/>
        </w:rPr>
        <w:t>Agenda</w:t>
      </w:r>
    </w:p>
    <w:p>
      <w:pPr>
        <w:pStyle w:val="Memo-BodyText"/>
        <w:ind w:firstLine="720" w:end="0"/>
        <w:jc w:val="start"/>
        <w:rPr/>
      </w:pPr>
      <w:r>
        <w:rPr/>
        <w:t xml:space="preserve">We will distribute bi-monthly mailings on current topics and issues relevant to the group, including new and proposed tax legislation, proposed and final Treasury Regulations, private letter rulings and other administrative guidance, and lobbying efforts.  In addition, we will hold meetings two or three times a year to discuss relevant issues.  We will organize the meetings in such a way that group members may participate in the entire meeting or in only the portions of interest to them.  We will provide a telephone hook-up for those members that desire to participate in meetings via conference call.  </w:t>
      </w:r>
    </w:p>
    <w:p>
      <w:pPr>
        <w:pStyle w:val="Memo-BodyText"/>
        <w:ind w:hanging="0" w:end="0"/>
        <w:jc w:val="start"/>
        <w:rPr>
          <w:b/>
          <w:i/>
          <w:i/>
          <w:u w:val="single"/>
        </w:rPr>
      </w:pPr>
      <w:r>
        <w:rPr>
          <w:b/>
          <w:i/>
          <w:u w:val="single"/>
        </w:rPr>
        <w:t>Membership and Costs</w:t>
      </w:r>
    </w:p>
    <w:p>
      <w:pPr>
        <w:pStyle w:val="Memo-BodyText"/>
        <w:ind w:firstLine="720" w:end="0"/>
        <w:jc w:val="start"/>
        <w:rPr/>
      </w:pPr>
      <w:r>
        <w:rPr/>
        <w:t>The fees for membership in the group will be billed at normal hourly rates of our attorneys, but will be limited to $3,500 per member in professional fees per year.  Expenses incurred by the group, such as disbursements, will be divided among the members.  We will bill members for fees and expenses on a quarterly basis.</w:t>
      </w:r>
    </w:p>
    <w:p>
      <w:pPr>
        <w:pStyle w:val="Memo-BodyText"/>
        <w:ind w:firstLine="720" w:end="0"/>
        <w:jc w:val="start"/>
        <w:rPr/>
      </w:pPr>
      <w:r>
        <w:rPr/>
        <w:t xml:space="preserve">If you have any questions or would like to further discuss your membership in the group, please do not hesitate to call or e-mail any one of us.  </w:t>
      </w:r>
    </w:p>
    <w:p>
      <w:pPr>
        <w:pStyle w:val="Memo-BodyText"/>
        <w:tabs>
          <w:tab w:val="clear" w:pos="720"/>
          <w:tab w:val="left" w:pos="1710" w:leader="none"/>
          <w:tab w:val="left" w:pos="3420" w:leader="none"/>
          <w:tab w:val="left" w:pos="5130" w:leader="none"/>
          <w:tab w:val="left" w:pos="7200" w:leader="none"/>
        </w:tabs>
        <w:spacing w:before="0" w:after="0"/>
        <w:ind w:hanging="0" w:end="0"/>
        <w:jc w:val="start"/>
        <w:rPr>
          <w:sz w:val="20"/>
        </w:rPr>
      </w:pPr>
      <w:r>
        <w:rPr>
          <w:sz w:val="20"/>
        </w:rPr>
        <w:t>David R. Hardy</w:t>
        <w:tab/>
        <w:t>Andrea S. Kramer</w:t>
        <w:tab/>
        <w:t xml:space="preserve">Laurie S. Marsh </w:t>
        <w:tab/>
        <w:t>William R. Pomierski</w:t>
        <w:tab/>
        <w:t>Martha G. Pugh</w:t>
        <w:tab/>
      </w:r>
    </w:p>
    <w:p>
      <w:pPr>
        <w:pStyle w:val="Memo-BodyText"/>
        <w:tabs>
          <w:tab w:val="clear" w:pos="720"/>
          <w:tab w:val="left" w:pos="1710" w:leader="none"/>
          <w:tab w:val="left" w:pos="3420" w:leader="none"/>
          <w:tab w:val="left" w:pos="5130" w:leader="none"/>
          <w:tab w:val="left" w:pos="7200" w:leader="none"/>
        </w:tabs>
        <w:spacing w:before="0" w:after="0"/>
        <w:ind w:hanging="0" w:end="0"/>
        <w:jc w:val="start"/>
        <w:rPr>
          <w:sz w:val="20"/>
        </w:rPr>
      </w:pPr>
      <w:r>
        <w:rPr>
          <w:sz w:val="20"/>
        </w:rPr>
        <w:t>(212) 547-5307</w:t>
        <w:tab/>
        <w:t>(312) 984-6480</w:t>
        <w:tab/>
        <w:t xml:space="preserve">(212) 547-5562 </w:t>
        <w:tab/>
        <w:t>(312) 984-7531</w:t>
        <w:tab/>
        <w:t>(202) 756-8391</w:t>
        <w:tab/>
      </w:r>
    </w:p>
    <w:p>
      <w:pPr>
        <w:pStyle w:val="Memo-BodyText"/>
        <w:tabs>
          <w:tab w:val="clear" w:pos="720"/>
          <w:tab w:val="left" w:pos="1710" w:leader="none"/>
          <w:tab w:val="left" w:pos="3420" w:leader="none"/>
          <w:tab w:val="left" w:pos="5130" w:leader="none"/>
          <w:tab w:val="left" w:pos="7200" w:leader="none"/>
        </w:tabs>
        <w:spacing w:before="0" w:after="0"/>
        <w:ind w:hanging="0" w:end="0"/>
        <w:jc w:val="start"/>
        <w:rPr>
          <w:sz w:val="20"/>
        </w:rPr>
      </w:pPr>
      <w:r>
        <w:rPr>
          <w:sz w:val="20"/>
        </w:rPr>
        <w:t>dhardy@mwe.com</w:t>
        <w:tab/>
        <w:t>akramer@mwe.com</w:t>
        <w:tab/>
        <w:t xml:space="preserve">lmarsh@mwe.com </w:t>
        <w:tab/>
        <w:t>wpomierski@mwe.com</w:t>
        <w:tab/>
        <w:t>mpugh@mwe.com</w:t>
        <w:tab/>
      </w:r>
    </w:p>
    <w:p>
      <w:pPr>
        <w:pStyle w:val="Normal"/>
        <w:rPr>
          <w:sz w:val="20"/>
        </w:rPr>
      </w:pPr>
      <w:r>
        <w:rPr>
          <w:sz w:val="20"/>
        </w:rPr>
      </w:r>
    </w:p>
    <w:p>
      <w:pPr>
        <w:pStyle w:val="Normal"/>
        <w:rPr>
          <w:b/>
        </w:rPr>
      </w:pPr>
      <w:r>
        <w:rPr>
          <w:b/>
        </w:rPr>
        <w:t>Attachments:</w:t>
      </w:r>
    </w:p>
    <w:p>
      <w:pPr>
        <w:pStyle w:val="Normal"/>
        <w:rPr>
          <w:b/>
        </w:rPr>
      </w:pPr>
      <w:r>
        <w:rPr>
          <w:b/>
        </w:rPr>
      </w:r>
    </w:p>
    <w:tbl>
      <w:tblPr>
        <w:tblW w:w="7200" w:type="dxa"/>
        <w:jc w:val="start"/>
        <w:tblInd w:w="0" w:type="dxa"/>
        <w:tblLayout w:type="fixed"/>
        <w:tblCellMar>
          <w:top w:w="0" w:type="dxa"/>
          <w:start w:w="108" w:type="dxa"/>
          <w:bottom w:w="0" w:type="dxa"/>
          <w:end w:w="108" w:type="dxa"/>
        </w:tblCellMar>
      </w:tblPr>
      <w:tblGrid>
        <w:gridCol w:w="1728"/>
        <w:gridCol w:w="5472"/>
      </w:tblGrid>
      <w:tr>
        <w:trPr/>
        <w:tc>
          <w:tcPr>
            <w:tcW w:w="1728" w:type="dxa"/>
            <w:tcBorders/>
          </w:tcPr>
          <w:p>
            <w:pPr>
              <w:pStyle w:val="Normal"/>
              <w:rPr>
                <w:b/>
                <w:smallCaps/>
              </w:rPr>
            </w:pPr>
            <w:r>
              <w:rPr>
                <w:b/>
                <w:smallCaps/>
              </w:rPr>
              <w:t>Item One</w:t>
            </w:r>
          </w:p>
        </w:tc>
        <w:tc>
          <w:tcPr>
            <w:tcW w:w="5472" w:type="dxa"/>
            <w:tcBorders/>
          </w:tcPr>
          <w:p>
            <w:pPr>
              <w:pStyle w:val="Normal"/>
              <w:rPr>
                <w:b/>
                <w:smallCaps/>
              </w:rPr>
            </w:pPr>
            <w:r>
              <w:rPr>
                <w:b/>
                <w:smallCaps/>
              </w:rPr>
              <w:t>Summary of Proposed NRC Rule on Nuclear Decommissioning Trust Fund Provisions</w:t>
            </w:r>
          </w:p>
          <w:p>
            <w:pPr>
              <w:pStyle w:val="Normal"/>
              <w:rPr>
                <w:b/>
                <w:smallCaps/>
              </w:rPr>
            </w:pPr>
            <w:r>
              <w:rPr>
                <w:b/>
                <w:smallCaps/>
              </w:rPr>
            </w:r>
          </w:p>
        </w:tc>
      </w:tr>
      <w:tr>
        <w:trPr/>
        <w:tc>
          <w:tcPr>
            <w:tcW w:w="1728" w:type="dxa"/>
            <w:tcBorders/>
          </w:tcPr>
          <w:p>
            <w:pPr>
              <w:pStyle w:val="Normal"/>
              <w:rPr>
                <w:b/>
                <w:smallCaps/>
              </w:rPr>
            </w:pPr>
            <w:r>
              <w:rPr>
                <w:b/>
                <w:smallCaps/>
              </w:rPr>
              <w:t>Item Two</w:t>
            </w:r>
          </w:p>
        </w:tc>
        <w:tc>
          <w:tcPr>
            <w:tcW w:w="5472" w:type="dxa"/>
            <w:tcBorders/>
          </w:tcPr>
          <w:p>
            <w:pPr>
              <w:pStyle w:val="Normal"/>
              <w:rPr>
                <w:b/>
                <w:smallCaps/>
              </w:rPr>
            </w:pPr>
            <w:r>
              <w:rPr>
                <w:b/>
                <w:smallCaps/>
              </w:rPr>
              <w:t>Weller Reintroduces Nuclear Decommissioning Legislation</w:t>
            </w:r>
          </w:p>
          <w:p>
            <w:pPr>
              <w:pStyle w:val="Normal"/>
              <w:rPr>
                <w:b/>
                <w:smallCaps/>
              </w:rPr>
            </w:pPr>
            <w:r>
              <w:rPr>
                <w:b/>
                <w:smallCaps/>
              </w:rPr>
            </w:r>
          </w:p>
        </w:tc>
      </w:tr>
      <w:tr>
        <w:trPr/>
        <w:tc>
          <w:tcPr>
            <w:tcW w:w="1728" w:type="dxa"/>
            <w:tcBorders/>
          </w:tcPr>
          <w:p>
            <w:pPr>
              <w:pStyle w:val="Normal"/>
              <w:rPr>
                <w:b/>
                <w:smallCaps/>
              </w:rPr>
            </w:pPr>
            <w:r>
              <w:rPr>
                <w:b/>
                <w:smallCaps/>
              </w:rPr>
              <w:t>Item Three</w:t>
            </w:r>
          </w:p>
        </w:tc>
        <w:tc>
          <w:tcPr>
            <w:tcW w:w="5472" w:type="dxa"/>
            <w:tcBorders/>
          </w:tcPr>
          <w:p>
            <w:pPr>
              <w:pStyle w:val="Normal"/>
              <w:rPr>
                <w:b/>
                <w:smallCaps/>
              </w:rPr>
            </w:pPr>
            <w:r>
              <w:rPr>
                <w:b/>
                <w:smallCaps/>
              </w:rPr>
              <w:t>Minutes of April 25, 2001 Group Meeting</w:t>
            </w:r>
          </w:p>
          <w:p>
            <w:pPr>
              <w:pStyle w:val="Normal"/>
              <w:rPr>
                <w:b/>
                <w:smallCaps/>
              </w:rPr>
            </w:pPr>
            <w:r>
              <w:rPr>
                <w:b/>
                <w:smallCaps/>
              </w:rPr>
            </w:r>
          </w:p>
        </w:tc>
      </w:tr>
      <w:tr>
        <w:trPr/>
        <w:tc>
          <w:tcPr>
            <w:tcW w:w="1728" w:type="dxa"/>
            <w:tcBorders/>
          </w:tcPr>
          <w:p>
            <w:pPr>
              <w:pStyle w:val="Normal"/>
              <w:rPr>
                <w:b/>
                <w:smallCaps/>
              </w:rPr>
            </w:pPr>
            <w:r>
              <w:rPr>
                <w:b/>
                <w:smallCaps/>
              </w:rPr>
              <w:t>Item Four</w:t>
            </w:r>
          </w:p>
        </w:tc>
        <w:tc>
          <w:tcPr>
            <w:tcW w:w="5472" w:type="dxa"/>
            <w:tcBorders/>
          </w:tcPr>
          <w:p>
            <w:pPr>
              <w:pStyle w:val="Normal"/>
              <w:rPr>
                <w:b/>
                <w:smallCaps/>
              </w:rPr>
            </w:pPr>
            <w:r>
              <w:rPr>
                <w:b/>
                <w:smallCaps/>
              </w:rPr>
              <w:t>Draft Statutory Language For Decommissioning Provisions Contained in the President's Budget Proposal</w:t>
            </w:r>
          </w:p>
          <w:p>
            <w:pPr>
              <w:pStyle w:val="Normal"/>
              <w:rPr>
                <w:b/>
                <w:smallCaps/>
              </w:rPr>
            </w:pPr>
            <w:r>
              <w:rPr>
                <w:b/>
                <w:smallCaps/>
              </w:rPr>
            </w:r>
          </w:p>
        </w:tc>
      </w:tr>
      <w:tr>
        <w:trPr/>
        <w:tc>
          <w:tcPr>
            <w:tcW w:w="1728" w:type="dxa"/>
            <w:tcBorders/>
          </w:tcPr>
          <w:p>
            <w:pPr>
              <w:pStyle w:val="Normal"/>
              <w:rPr>
                <w:b/>
                <w:smallCaps/>
              </w:rPr>
            </w:pPr>
            <w:r>
              <w:rPr>
                <w:b/>
                <w:smallCaps/>
              </w:rPr>
              <w:t>Item Five</w:t>
            </w:r>
          </w:p>
        </w:tc>
        <w:tc>
          <w:tcPr>
            <w:tcW w:w="5472" w:type="dxa"/>
            <w:tcBorders/>
          </w:tcPr>
          <w:p>
            <w:pPr>
              <w:pStyle w:val="Normal"/>
              <w:rPr>
                <w:b/>
                <w:smallCaps/>
              </w:rPr>
            </w:pPr>
            <w:r>
              <w:rPr>
                <w:b/>
                <w:smallCaps/>
              </w:rPr>
              <w:t>Chart Summarizing Nuclear Decommissioning Legislative Activity 1999-2001</w:t>
            </w:r>
          </w:p>
          <w:p>
            <w:pPr>
              <w:pStyle w:val="Normal"/>
              <w:rPr>
                <w:b/>
                <w:smallCaps/>
              </w:rPr>
            </w:pPr>
            <w:r>
              <w:rPr>
                <w:b/>
                <w:smallCaps/>
              </w:rPr>
            </w:r>
          </w:p>
        </w:tc>
      </w:tr>
      <w:tr>
        <w:trPr/>
        <w:tc>
          <w:tcPr>
            <w:tcW w:w="1728" w:type="dxa"/>
            <w:tcBorders/>
          </w:tcPr>
          <w:p>
            <w:pPr>
              <w:pStyle w:val="Normal"/>
              <w:rPr>
                <w:b/>
                <w:smallCaps/>
              </w:rPr>
            </w:pPr>
            <w:r>
              <w:rPr>
                <w:b/>
                <w:smallCaps/>
              </w:rPr>
              <w:t>Item Six</w:t>
            </w:r>
          </w:p>
        </w:tc>
        <w:tc>
          <w:tcPr>
            <w:tcW w:w="5472" w:type="dxa"/>
            <w:tcBorders/>
          </w:tcPr>
          <w:p>
            <w:pPr>
              <w:pStyle w:val="Normal"/>
              <w:rPr>
                <w:b/>
                <w:smallCaps/>
              </w:rPr>
            </w:pPr>
            <w:r>
              <w:rPr>
                <w:b/>
                <w:smallCaps/>
              </w:rPr>
              <w:t>Comparison of Nuclear Decommissioning Legislative Proposals</w:t>
            </w:r>
          </w:p>
          <w:p>
            <w:pPr>
              <w:pStyle w:val="Normal"/>
              <w:rPr>
                <w:b/>
                <w:smallCaps/>
              </w:rPr>
            </w:pPr>
            <w:r>
              <w:rPr>
                <w:b/>
                <w:smallCaps/>
              </w:rPr>
            </w:r>
          </w:p>
        </w:tc>
      </w:tr>
      <w:tr>
        <w:trPr/>
        <w:tc>
          <w:tcPr>
            <w:tcW w:w="1728" w:type="dxa"/>
            <w:tcBorders/>
          </w:tcPr>
          <w:p>
            <w:pPr>
              <w:pStyle w:val="Normal"/>
              <w:rPr>
                <w:b/>
                <w:smallCaps/>
              </w:rPr>
            </w:pPr>
            <w:r>
              <w:rPr>
                <w:b/>
                <w:smallCaps/>
              </w:rPr>
              <w:t>Item Seven</w:t>
            </w:r>
          </w:p>
        </w:tc>
        <w:tc>
          <w:tcPr>
            <w:tcW w:w="5472" w:type="dxa"/>
            <w:tcBorders/>
          </w:tcPr>
          <w:p>
            <w:pPr>
              <w:pStyle w:val="Normal"/>
              <w:rPr>
                <w:b/>
                <w:smallCaps/>
              </w:rPr>
            </w:pPr>
            <w:r>
              <w:rPr>
                <w:b/>
                <w:smallCaps/>
              </w:rPr>
              <w:t>Summary of 355(e) (New) Proposed Regulations</w:t>
            </w:r>
          </w:p>
          <w:p>
            <w:pPr>
              <w:pStyle w:val="Normal"/>
              <w:rPr>
                <w:b/>
                <w:smallCaps/>
              </w:rPr>
            </w:pPr>
            <w:r>
              <w:rPr>
                <w:b/>
                <w:smallCaps/>
              </w:rPr>
            </w:r>
          </w:p>
        </w:tc>
      </w:tr>
      <w:tr>
        <w:trPr/>
        <w:tc>
          <w:tcPr>
            <w:tcW w:w="1728" w:type="dxa"/>
            <w:tcBorders/>
          </w:tcPr>
          <w:p>
            <w:pPr>
              <w:pStyle w:val="Normal"/>
              <w:rPr>
                <w:b/>
                <w:smallCaps/>
              </w:rPr>
            </w:pPr>
            <w:r>
              <w:rPr>
                <w:b/>
                <w:smallCaps/>
              </w:rPr>
              <w:t>Item Eight</w:t>
            </w:r>
          </w:p>
          <w:p>
            <w:pPr>
              <w:pStyle w:val="Normal"/>
              <w:rPr>
                <w:b/>
                <w:smallCaps/>
              </w:rPr>
            </w:pPr>
            <w:r>
              <w:rPr>
                <w:b/>
                <w:smallCaps/>
              </w:rPr>
            </w:r>
          </w:p>
        </w:tc>
        <w:tc>
          <w:tcPr>
            <w:tcW w:w="5472" w:type="dxa"/>
            <w:tcBorders/>
          </w:tcPr>
          <w:p>
            <w:pPr>
              <w:pStyle w:val="Normal"/>
              <w:rPr>
                <w:b/>
                <w:smallCaps/>
              </w:rPr>
            </w:pPr>
            <w:r>
              <w:rPr>
                <w:b/>
                <w:smallCaps/>
              </w:rPr>
              <w:t>Comments on Treasury Regulations Addressing Hedging Transactions</w:t>
            </w:r>
          </w:p>
          <w:p>
            <w:pPr>
              <w:pStyle w:val="Normal"/>
              <w:rPr>
                <w:b/>
                <w:smallCaps/>
              </w:rPr>
            </w:pPr>
            <w:r>
              <w:rPr>
                <w:b/>
                <w:smallCaps/>
              </w:rPr>
            </w:r>
          </w:p>
        </w:tc>
      </w:tr>
      <w:tr>
        <w:trPr>
          <w:trHeight w:val="315" w:hRule="atLeast"/>
        </w:trPr>
        <w:tc>
          <w:tcPr>
            <w:tcW w:w="1728" w:type="dxa"/>
            <w:tcBorders/>
          </w:tcPr>
          <w:p>
            <w:pPr>
              <w:pStyle w:val="Normal"/>
              <w:rPr>
                <w:b/>
                <w:smallCaps/>
              </w:rPr>
            </w:pPr>
            <w:r>
              <w:rPr>
                <w:b/>
                <w:smallCaps/>
              </w:rPr>
              <w:t>Item Nine</w:t>
            </w:r>
          </w:p>
        </w:tc>
        <w:tc>
          <w:tcPr>
            <w:tcW w:w="5472" w:type="dxa"/>
            <w:tcBorders/>
          </w:tcPr>
          <w:p>
            <w:pPr>
              <w:pStyle w:val="Normal"/>
              <w:rPr>
                <w:b/>
                <w:smallCaps/>
              </w:rPr>
            </w:pPr>
            <w:r>
              <w:rPr>
                <w:b/>
                <w:smallCaps/>
              </w:rPr>
              <w:t>ERDTG Registration Form</w:t>
            </w:r>
          </w:p>
        </w:tc>
      </w:tr>
    </w:tbl>
    <w:p>
      <w:pPr>
        <w:sectPr>
          <w:headerReference w:type="default" r:id="rId3"/>
          <w:headerReference w:type="first" r:id="rId4"/>
          <w:footerReference w:type="default" r:id="rId5"/>
          <w:footerReference w:type="first" r:id="rId6"/>
          <w:type w:val="nextPage"/>
          <w:pgSz w:w="12240" w:h="15840"/>
          <w:pgMar w:left="1728" w:right="1728" w:gutter="0" w:header="720" w:top="1440" w:footer="720" w:bottom="1440"/>
          <w:pgNumType w:fmt="decimal"/>
          <w:formProt w:val="false"/>
          <w:titlePg/>
          <w:textDirection w:val="lrTb"/>
          <w:docGrid w:type="default" w:linePitch="360" w:charSpace="0"/>
        </w:sectPr>
        <w:pStyle w:val="Normal"/>
        <w:rPr/>
      </w:pPr>
      <w:r>
        <w:rPr/>
      </w:r>
    </w:p>
    <w:p>
      <w:pPr>
        <w:pStyle w:val="Normal"/>
        <w:rPr>
          <w:b/>
        </w:rPr>
      </w:pPr>
      <w:r>
        <w:rPr>
          <w:b/>
          <w:smallCaps/>
        </w:rPr>
        <w:t>Summary of Proposed NRC Rule on Nuclear Decommissioning Trust Fund Provisions</w:t>
      </w:r>
    </w:p>
    <w:p>
      <w:pPr>
        <w:pStyle w:val="Normal"/>
        <w:rPr>
          <w:b/>
          <w:smallCaps/>
          <w:u w:val="single"/>
        </w:rPr>
      </w:pPr>
      <w:r>
        <w:rPr>
          <w:b/>
          <w:smallCaps/>
          <w:u w:val="single"/>
        </w:rPr>
      </w:r>
    </w:p>
    <w:p>
      <w:pPr>
        <w:pStyle w:val="Normal"/>
        <w:rPr>
          <w:b/>
          <w:smallCaps/>
          <w:u w:val="single"/>
        </w:rPr>
      </w:pPr>
      <w:r>
        <w:rPr>
          <w:b/>
          <w:smallCaps/>
          <w:u w:val="single"/>
        </w:rPr>
        <w:t>Item One</w:t>
      </w:r>
    </w:p>
    <w:p>
      <w:pPr>
        <w:pStyle w:val="BodyText"/>
        <w:spacing w:before="0" w:after="0"/>
        <w:ind w:hanging="0" w:end="0"/>
        <w:rPr>
          <w:b/>
          <w:smallCaps/>
          <w:u w:val="single"/>
        </w:rPr>
      </w:pPr>
      <w:r>
        <w:rPr>
          <w:b/>
          <w:smallCaps/>
          <w:u w:val="single"/>
        </w:rPr>
      </w:r>
    </w:p>
    <w:p>
      <w:pPr>
        <w:pStyle w:val="BodyText"/>
        <w:ind w:firstLine="720" w:end="0"/>
        <w:rPr/>
      </w:pPr>
      <w:r>
        <w:rPr/>
        <w:t>The Nuclear Regulatory Commission (the "NRC") has made available on its web site  a proposed rule on nuclear decommissioning trust fund provisions (the "Proposed Rule") accompanied by proposed revisions to the Draft Regulatory Guide 1.159, Rev. 1 (the "Regulatory Guide").  The Proposed Rule is expected to be published in the Federal Register soon.  As a result of deregulation of the electric utility industry, the NRC intends to assume a more active role in its oversight of decommissioning trust agreements.  The Proposed Rule and Regulatory Guide, if adopted, would provide uniform decommissioning trust terms and conditions applicable to all power reactor licensees.</w:t>
      </w:r>
      <w:r>
        <w:rPr>
          <w:rStyle w:val="FootnoteCharacters"/>
          <w:rStyle w:val="FootnoteReference"/>
        </w:rPr>
        <w:footnoteReference w:id="2"/>
      </w:r>
      <w:r>
        <w:rPr/>
        <w:t xml:space="preserve">  The Proposed Rule modifies paragraphs 10 CFR 50.75(e)(1)(i) and (ii), and adds a new paragraph 10 CFR 50.75(h).  The Regulatory Guide includes sample trust fund language containing the terms and conditions set forth in the Proposed Rule.  Please note if the Proposed Rule were adopted, companies would need to amend their decommissioning trust agreements to comply with the Proposed Rule.</w:t>
      </w:r>
    </w:p>
    <w:p>
      <w:pPr>
        <w:pStyle w:val="BodyText"/>
        <w:ind w:firstLine="720" w:end="0"/>
        <w:rPr/>
      </w:pPr>
      <w:r>
        <w:rPr/>
        <w:t>The three principal requirements of the Proposed Rule are that decommissioning trust agreements must (1) take special care to safeguard the trust corpus from investment risks, (2) provide adequate information about the trust to the NRC, and (3) provide safeguards against improper payments from the trust.  The Proposed Rule accomplishes these objectives by requiring that:</w:t>
      </w:r>
    </w:p>
    <w:p>
      <w:pPr>
        <w:pStyle w:val="Normal"/>
        <w:numPr>
          <w:ilvl w:val="0"/>
          <w:numId w:val="3"/>
        </w:numPr>
        <w:rPr/>
      </w:pPr>
      <w:r>
        <w:rPr/>
        <w:t>The trust must be an external trust fund held in the United States, established pursuant to a written agreement with an entity that is a State or Federal government agency or whose operations are regulated by a State or Federal agency.</w:t>
        <w:br/>
      </w:r>
    </w:p>
    <w:p>
      <w:pPr>
        <w:pStyle w:val="Normal"/>
        <w:numPr>
          <w:ilvl w:val="0"/>
          <w:numId w:val="3"/>
        </w:numPr>
        <w:rPr/>
      </w:pPr>
      <w:r>
        <w:rPr/>
        <w:t>The trust agreement must prohibit trust investments in securities or other obligations of the reactor owner or its affiliates, successors, or assigns.</w:t>
      </w:r>
      <w:r>
        <w:rPr>
          <w:rStyle w:val="FootnoteCharacters"/>
          <w:rStyle w:val="FootnoteReference"/>
        </w:rPr>
        <w:footnoteReference w:id="3"/>
      </w:r>
      <w:r>
        <w:rPr/>
        <w:br/>
      </w:r>
    </w:p>
    <w:p>
      <w:pPr>
        <w:pStyle w:val="Normal"/>
        <w:numPr>
          <w:ilvl w:val="0"/>
          <w:numId w:val="3"/>
        </w:numPr>
        <w:rPr/>
      </w:pPr>
      <w:r>
        <w:rPr/>
        <w:t>The trust agreement must prohibit investments in any entity owning one or more nuclear power plants, except for investments tied to general market indices or non-nuclear sector mutual funds.</w:t>
      </w:r>
      <w:r>
        <w:rPr>
          <w:rStyle w:val="FootnoteCharacters"/>
          <w:rStyle w:val="FootnoteReference"/>
        </w:rPr>
        <w:footnoteReference w:id="4"/>
      </w:r>
      <w:r>
        <w:rPr/>
        <w:br/>
      </w:r>
    </w:p>
    <w:p>
      <w:pPr>
        <w:pStyle w:val="Normal"/>
        <w:numPr>
          <w:ilvl w:val="0"/>
          <w:numId w:val="3"/>
        </w:numPr>
        <w:rPr/>
      </w:pPr>
      <w:r>
        <w:rPr/>
        <w:t>The trust agreement must stipulate that the agreement cannot be amended in any material respect</w:t>
      </w:r>
      <w:r>
        <w:rPr>
          <w:rStyle w:val="FootnoteCharacters"/>
          <w:rStyle w:val="FootnoteReference"/>
        </w:rPr>
        <w:footnoteReference w:id="5"/>
      </w:r>
      <w:r>
        <w:rPr/>
        <w:t xml:space="preserve"> without 30-days prior written notice to the NRC, and that no amendment to the trust may be made if the trustee receives written notice of objection from the NRC within the notice period.</w:t>
        <w:br/>
      </w:r>
    </w:p>
    <w:p>
      <w:pPr>
        <w:pStyle w:val="Normal"/>
        <w:numPr>
          <w:ilvl w:val="0"/>
          <w:numId w:val="3"/>
        </w:numPr>
        <w:rPr/>
      </w:pPr>
      <w:r>
        <w:rPr/>
        <w:t>The trust agreement must stipulate that the trustee, investment advisor, or anyone else directing investments made by the trust should adhere to a "prudent investor" standard.</w:t>
        <w:br/>
      </w:r>
    </w:p>
    <w:p>
      <w:pPr>
        <w:pStyle w:val="Normal"/>
        <w:numPr>
          <w:ilvl w:val="0"/>
          <w:numId w:val="3"/>
        </w:numPr>
        <w:rPr/>
      </w:pPr>
      <w:r>
        <w:rPr/>
        <w:t>The trust agreement must provide that no disbursements or payments from the trust may be made by the trustee until the trustee has first given the NRC 30-days prior written notice, and that no disbursements or payments from the trust may be made if the trustee receives written notice of objection from the NRC within the notice period (other than for payment of routine administrative expenses).</w:t>
        <w:br/>
      </w:r>
    </w:p>
    <w:p>
      <w:pPr>
        <w:pStyle w:val="Normal"/>
        <w:numPr>
          <w:ilvl w:val="0"/>
          <w:numId w:val="3"/>
        </w:numPr>
        <w:rPr/>
      </w:pPr>
      <w:r>
        <w:rPr/>
        <w:t xml:space="preserve">The person directing the investment of the funds can not use the licensee or its affiliates or subsidiaries as the investment manager for the funds or accept day-to-day management direction of the funds' investments or direction on individual investments by the funds from the licensee or its affiliates or subsidiaries. </w:t>
      </w:r>
    </w:p>
    <w:p>
      <w:pPr>
        <w:pStyle w:val="Normal"/>
        <w:rPr/>
      </w:pPr>
      <w:r>
        <w:rPr/>
      </w:r>
    </w:p>
    <w:p>
      <w:pPr>
        <w:pStyle w:val="Normal"/>
        <w:rPr/>
      </w:pPr>
      <w:r>
        <w:rPr/>
        <w:tab/>
        <w:t xml:space="preserve">The Proposed Rule and Regulatory Guide can be found on the NRC website (http://www.nrc.gov/) and is attached hereto as a separate document for your convenience.  The provisions restricting investments in ownership of other nuclear utilities will be of particular interest to many companies.  The group will prepare comments on the Proposed Rule, the revised Regulatory Guide, and other items of interest to group members.  If you are interested in participating on a task force to draft comments, please contact Marty Pugh. </w:t>
      </w:r>
    </w:p>
    <w:p>
      <w:pPr>
        <w:sectPr>
          <w:headerReference w:type="default" r:id="rId7"/>
          <w:headerReference w:type="first" r:id="rId8"/>
          <w:footerReference w:type="default" r:id="rId9"/>
          <w:footerReference w:type="first" r:id="rId10"/>
          <w:footnotePr>
            <w:numFmt w:val="decimal"/>
          </w:footnotePr>
          <w:type w:val="nextPage"/>
          <w:pgSz w:w="12240" w:h="15840"/>
          <w:pgMar w:left="1728" w:right="1728" w:gutter="0" w:header="720" w:top="1440" w:footer="720" w:bottom="1440"/>
          <w:pgNumType w:start="1" w:fmt="decimal"/>
          <w:formProt w:val="false"/>
          <w:titlePg/>
          <w:textDirection w:val="lrTb"/>
          <w:docGrid w:type="default" w:linePitch="360" w:charSpace="0"/>
        </w:sectPr>
        <w:pStyle w:val="Normal"/>
        <w:rPr/>
      </w:pPr>
      <w:r>
        <w:rPr/>
      </w:r>
    </w:p>
    <w:p>
      <w:pPr>
        <w:pStyle w:val="Normal"/>
        <w:rPr>
          <w:b/>
          <w:smallCaps/>
        </w:rPr>
      </w:pPr>
      <w:r>
        <w:rPr>
          <w:b/>
          <w:smallCaps/>
        </w:rPr>
        <w:t>Weller Reintroduces Nuclear Decommissioning Legislation</w:t>
      </w:r>
    </w:p>
    <w:p>
      <w:pPr>
        <w:pStyle w:val="Normal"/>
        <w:rPr>
          <w:b/>
          <w:smallCaps/>
          <w:u w:val="single"/>
        </w:rPr>
      </w:pPr>
      <w:r>
        <w:rPr>
          <w:b/>
          <w:smallCaps/>
          <w:u w:val="single"/>
        </w:rPr>
      </w:r>
    </w:p>
    <w:p>
      <w:pPr>
        <w:pStyle w:val="Normal"/>
        <w:rPr>
          <w:b/>
          <w:smallCaps/>
          <w:u w:val="single"/>
        </w:rPr>
      </w:pPr>
      <w:r>
        <w:rPr>
          <w:b/>
          <w:smallCaps/>
          <w:u w:val="single"/>
        </w:rPr>
        <w:t>Item Two</w:t>
      </w:r>
    </w:p>
    <w:p>
      <w:pPr>
        <w:pStyle w:val="Normal"/>
        <w:rPr>
          <w:b/>
          <w:smallCaps/>
          <w:u w:val="single"/>
        </w:rPr>
      </w:pPr>
      <w:r>
        <w:rPr>
          <w:b/>
          <w:smallCaps/>
          <w:u w:val="single"/>
        </w:rPr>
      </w:r>
    </w:p>
    <w:p>
      <w:pPr>
        <w:pStyle w:val="Normal"/>
        <w:rPr>
          <w:b/>
          <w:smallCaps/>
        </w:rPr>
      </w:pPr>
      <w:r>
        <w:rPr>
          <w:b/>
          <w:smallCaps/>
        </w:rPr>
      </w:r>
    </w:p>
    <w:p>
      <w:pPr>
        <w:sectPr>
          <w:headerReference w:type="default" r:id="rId11"/>
          <w:headerReference w:type="first" r:id="rId12"/>
          <w:footerReference w:type="default" r:id="rId13"/>
          <w:footerReference w:type="first" r:id="rId14"/>
          <w:footnotePr>
            <w:numFmt w:val="decimal"/>
          </w:footnotePr>
          <w:type w:val="nextPage"/>
          <w:pgSz w:w="12240" w:h="15840"/>
          <w:pgMar w:left="1728" w:right="1728" w:gutter="0" w:header="720" w:top="1440" w:footer="720" w:bottom="1440"/>
          <w:pgNumType w:start="1" w:fmt="decimal"/>
          <w:formProt w:val="false"/>
          <w:titlePg/>
          <w:textDirection w:val="lrTb"/>
          <w:docGrid w:type="default" w:linePitch="360" w:charSpace="0"/>
        </w:sectPr>
        <w:pStyle w:val="Normal"/>
        <w:ind w:firstLine="720" w:end="0"/>
        <w:rPr/>
      </w:pPr>
      <w:r>
        <w:rPr/>
        <w:t>On May 3, 2001, Representative Jerry Weller (R-IL), along with Representatives Ben Cardin (D-MD), Phillip Crane (R-IL), Mark Foley (R-FL) and Nancy Johnson (R-CT) introduced H.R. 1702, the Nuclear Decommissioning Funds Clarification Act.  The legislation is the same as the Nuclear Decommissioning Funds Clarification Act introduced by Representatives Jerry Weller and Ben Cardin on June 8, 1999, with the exception that the effective date is the date of introduction (May 3, 2001).</w:t>
      </w:r>
    </w:p>
    <w:p>
      <w:pPr>
        <w:pStyle w:val="Normal"/>
        <w:rPr>
          <w:b/>
          <w:smallCaps/>
        </w:rPr>
      </w:pPr>
      <w:r>
        <w:rPr>
          <w:b/>
          <w:smallCaps/>
        </w:rPr>
        <w:t>Minutes of April 25, 2001 Group Meeting</w:t>
      </w:r>
    </w:p>
    <w:p>
      <w:pPr>
        <w:pStyle w:val="Normal"/>
        <w:rPr>
          <w:b/>
          <w:smallCaps/>
        </w:rPr>
      </w:pPr>
      <w:r>
        <w:rPr>
          <w:b/>
          <w:smallCaps/>
        </w:rPr>
      </w:r>
    </w:p>
    <w:p>
      <w:pPr>
        <w:pStyle w:val="Normal"/>
        <w:rPr>
          <w:b/>
          <w:smallCaps/>
          <w:u w:val="single"/>
        </w:rPr>
      </w:pPr>
      <w:r>
        <w:rPr>
          <w:b/>
          <w:smallCaps/>
          <w:u w:val="single"/>
        </w:rPr>
        <w:t>Item Three</w:t>
      </w:r>
    </w:p>
    <w:p>
      <w:pPr>
        <w:pStyle w:val="Normal"/>
        <w:rPr>
          <w:b/>
          <w:smallCaps/>
          <w:u w:val="single"/>
        </w:rPr>
      </w:pPr>
      <w:r>
        <w:rPr>
          <w:b/>
          <w:smallCaps/>
          <w:u w:val="single"/>
        </w:rPr>
      </w:r>
    </w:p>
    <w:p>
      <w:pPr>
        <w:pStyle w:val="Normal"/>
        <w:rPr>
          <w:b/>
        </w:rPr>
      </w:pPr>
      <w:r>
        <w:rPr>
          <w:b/>
        </w:rPr>
        <w:tab/>
        <w:t>I.</w:t>
        <w:tab/>
      </w:r>
      <w:r>
        <w:rPr>
          <w:b/>
          <w:u w:val="single"/>
        </w:rPr>
        <w:t>Introduction</w:t>
      </w:r>
    </w:p>
    <w:p>
      <w:pPr>
        <w:pStyle w:val="Normal"/>
        <w:rPr>
          <w:b/>
        </w:rPr>
      </w:pPr>
      <w:r>
        <w:rPr>
          <w:b/>
        </w:rPr>
      </w:r>
    </w:p>
    <w:p>
      <w:pPr>
        <w:pStyle w:val="Normal"/>
        <w:rPr/>
      </w:pPr>
      <w:r>
        <w:rPr/>
        <w:tab/>
        <w:t xml:space="preserve">The Energy Restructuring &amp; Decommissioning Tax Group had its inaugural meeting on Wednesday, April 25, 2001 in Chicago, Illinois.  The group discussed a broad range of issues which are of current relevance to the energy industry.  </w:t>
      </w:r>
    </w:p>
    <w:p>
      <w:pPr>
        <w:pStyle w:val="Normal"/>
        <w:rPr>
          <w:b/>
        </w:rPr>
      </w:pPr>
      <w:r>
        <w:rPr>
          <w:b/>
        </w:rPr>
      </w:r>
    </w:p>
    <w:p>
      <w:pPr>
        <w:pStyle w:val="Normal"/>
        <w:rPr/>
      </w:pPr>
      <w:r>
        <w:rPr>
          <w:b/>
        </w:rPr>
        <w:tab/>
        <w:t>II.</w:t>
        <w:tab/>
      </w:r>
      <w:r>
        <w:rPr>
          <w:b/>
          <w:u w:val="single"/>
        </w:rPr>
        <w:t>Discussion of Legislative Issues</w:t>
      </w:r>
    </w:p>
    <w:p>
      <w:pPr>
        <w:pStyle w:val="Normal"/>
        <w:rPr/>
      </w:pPr>
      <w:r>
        <w:rPr/>
      </w:r>
    </w:p>
    <w:p>
      <w:pPr>
        <w:pStyle w:val="Normal"/>
        <w:rPr/>
      </w:pPr>
      <w:r>
        <w:rPr/>
        <w:tab/>
        <w:t>Pat Healy spoke briefly about the history of the decommissioning provisions of the Internal Revenue Code (the "Code") and the changes which led to Code section 468A as in effect today.  She discussed certain important changes to Code section 468A which were made over the years, including a reduction of the tax rate applicable to decommissioning trust funds.  Finally Pat stated that she is optimistic that the industry will be successful in obtaining further favorable amendments to Code section 468A during 2001.</w:t>
      </w:r>
    </w:p>
    <w:p>
      <w:pPr>
        <w:pStyle w:val="Normal"/>
        <w:rPr/>
      </w:pPr>
      <w:r>
        <w:rPr/>
      </w:r>
    </w:p>
    <w:p>
      <w:pPr>
        <w:pStyle w:val="Normal"/>
        <w:rPr/>
      </w:pPr>
      <w:r>
        <w:rPr/>
        <w:tab/>
        <w:t xml:space="preserve">Marty Pugh then gave a summary of the various decommissioning provisions included in bills introduced since 1998.  A chart summarizing these provisions is included as Item Five.  In February 1999, President Clinton's budget proposal included the removal of the cost of service limitation.  In June 1999, the nuclear decommissioning legislative language drafted by the industry was introduced in stand-alone bills in both the House and the Senate.  Nuclear decommissioning tax relief was then included in a tax relief bill which was passed by both the House and the Senate which was later vetoed by President Clinton in September 1999.  </w:t>
      </w:r>
    </w:p>
    <w:p>
      <w:pPr>
        <w:pStyle w:val="Normal"/>
        <w:rPr/>
      </w:pPr>
      <w:r>
        <w:rPr/>
      </w:r>
    </w:p>
    <w:p>
      <w:pPr>
        <w:pStyle w:val="Normal"/>
        <w:rPr/>
      </w:pPr>
      <w:r>
        <w:rPr/>
        <w:tab/>
        <w:t xml:space="preserve">The industry was successful in having tax relief for several industry restructuring issues included in energy bills in both the House and the Senate in 2000 and reintroduced in 2001 which included nuclear decommissioning tax relief.  The industry package, the result of the joint efforts of Edison Electric Institute ("EEI") and the American Public Power Association ("APPA"), includes provisions intended to modify the federal tax laws to remove certain impediments to effective competition in the electric power industry.    </w:t>
      </w:r>
    </w:p>
    <w:p>
      <w:pPr>
        <w:pStyle w:val="Normal"/>
        <w:rPr/>
      </w:pPr>
      <w:r>
        <w:rPr/>
      </w:r>
    </w:p>
    <w:p>
      <w:pPr>
        <w:pStyle w:val="Normal"/>
        <w:rPr/>
      </w:pPr>
      <w:r>
        <w:rPr/>
        <w:tab/>
        <w:t>Decommissioning tax relief most recently appeared in President Bush's fiscal year 2002 budget proposal.  Marty Pugh noted that the summary of President Bush's proposal appears very favorable to the industry and provides almost as much relief as the industry-drafted decommissioning legislation.  A chart summarizing President Bush's proposal is included as Item Six.  There appears to be much support for providing decommissioning tax relief, as demonstrated by the number of times that similar provisions have been introduced in the Congress and included in the Administration budget proposals.  The group discussed the fact that in the past the APPA has opposed the decommissioning provisions in certain bills when provisions for tax relief for the APPA were not also included in such bills.  The group expressed some concern that the same issue could occur if the decommissioning relief were to be picked up in a tax package without the other provisions in the industry tax package supported by EEI and the APPA.  It is difficult to predict the outcome of the bills that are presently before Congress.  Marty Pugh suggested that because of the uncertainty of the timing of a tax bill with corporate tax relief, the industry, including the group should carefully consider the importance of each of the items included in the industry tax package.</w:t>
      </w:r>
    </w:p>
    <w:p>
      <w:pPr>
        <w:pStyle w:val="Normal"/>
        <w:rPr/>
      </w:pPr>
      <w:r>
        <w:rPr/>
      </w:r>
    </w:p>
    <w:p>
      <w:pPr>
        <w:pStyle w:val="Normal"/>
        <w:rPr/>
      </w:pPr>
      <w:r>
        <w:rPr/>
        <w:tab/>
        <w:t>It was agreed that the group would submit draft statutory language to Treasury for the decommissioning provisions included in President Bush's budget proposal, in an attempt to impact the drafting of the statutory language.  Marty Pugh suggested including the entire industry tax package to show support for the entire package.  The draft statutory language is included as Item Four.  Marty also suggested that the group create a legislative task force to work on similar projects in the future.  Please contact Marty Pugh with your comments on the draft statutory language or if you would like to participate on the legislative task force.</w:t>
      </w:r>
    </w:p>
    <w:p>
      <w:pPr>
        <w:pStyle w:val="Normal"/>
        <w:rPr/>
      </w:pPr>
      <w:r>
        <w:rPr/>
      </w:r>
    </w:p>
    <w:p>
      <w:pPr>
        <w:pStyle w:val="Normal"/>
        <w:rPr/>
      </w:pPr>
      <w:r>
        <w:rPr/>
        <w:tab/>
      </w:r>
      <w:r>
        <w:rPr>
          <w:b/>
        </w:rPr>
        <w:t>III.</w:t>
        <w:tab/>
      </w:r>
      <w:r>
        <w:rPr>
          <w:b/>
          <w:u w:val="single"/>
        </w:rPr>
        <w:t>Code Section 355(e) Issues</w:t>
      </w:r>
    </w:p>
    <w:p>
      <w:pPr>
        <w:pStyle w:val="Normal"/>
        <w:rPr>
          <w:b/>
          <w:u w:val="single"/>
        </w:rPr>
      </w:pPr>
      <w:r>
        <w:rPr>
          <w:b/>
          <w:u w:val="single"/>
        </w:rPr>
      </w:r>
    </w:p>
    <w:p>
      <w:pPr>
        <w:pStyle w:val="Normal"/>
        <w:rPr/>
      </w:pPr>
      <w:r>
        <w:rPr/>
        <w:tab/>
        <w:t>David Hardy and Laurie Marsh summarized the new Treasury Regulations issued under Code section 355(e).  In general, Code section 355(e) provides that a spin-off otherwise qualifying as tax-free under Code section 355 will nonetheless be taxable to the distributing corporation if the spin-off is part of a plan pursuant to which an ownership change representing a 50-percent or greater interest in either the distributing corporation or the controlled corporation occurs.  David gave some background as to the perceived abuses that Code section 355(e) and the Treasury Regulations are attempting to combat.  David discussed the general rules of Code section 355(e), and the difficulty in determining whether a spin-off and an ownership change are to be considered part of a "plan."  He pointed out that the new Treasury Regulations under Code section 355(e) have been generally well received by the tax bar, although some criticisms do remain.</w:t>
      </w:r>
    </w:p>
    <w:p>
      <w:pPr>
        <w:pStyle w:val="Normal"/>
        <w:rPr/>
      </w:pPr>
      <w:r>
        <w:rPr/>
      </w:r>
    </w:p>
    <w:p>
      <w:pPr>
        <w:pStyle w:val="Normal"/>
        <w:rPr/>
      </w:pPr>
      <w:r>
        <w:rPr/>
        <w:tab/>
        <w:t>Laurie Marsh described the mechanics of the new Treasury Regulations under Code section 355(e) in detail.  A hand-out was included in the materials for the group meeting which contains an outline of the new Treasury Regulations, and is attached as Item Seven.  In general, the new Treasury Regulations provide rules for determining whether a spin-off and an ownership change are part of a "plan" and thus subject to Code section 355(e), and they list several safe harbors under which a plan will not be considered to exist.  Laurie explained the various safe harbors and operating rules that demonstrate when a plan is considered to exist.  She pointed out certain ambiguities that are inherent in the new Treasury Regulations, such as the lack of guidance as to which factors evidencing a plan are more significant than others, if any, and the lack of clarity as to what exactly constitutes a prohibited "internal discussion."  Laurie also believes that the standards in some of the safe harbors are still not clear.  Marty Pugh pointed out that the first safe harbor found in the Treasury Regulations, under which a plan will not be deemed to exist if an acquisition occurs more than six months after a distribution and a substantial business purpose for the distribution was a non-acquisition business purpose, may be particularly helpful in utility restructuring transactions.</w:t>
      </w:r>
    </w:p>
    <w:p>
      <w:pPr>
        <w:pStyle w:val="Normal"/>
        <w:rPr/>
      </w:pPr>
      <w:r>
        <w:rPr/>
      </w:r>
    </w:p>
    <w:p>
      <w:pPr>
        <w:pStyle w:val="Normal"/>
        <w:rPr/>
      </w:pPr>
      <w:r>
        <w:rPr/>
        <w:tab/>
        <w:t>David Hardy then mentioned several of his concerns with Code section 355(e).  In particular, David is concerned that the factual nature of the Code section 355(e) inquiry prevents private letter rulings from being issued on these difficult issues.  As a result, companies may have to represent in their spin-off ruling requests that no issue under Code section 355(e) is present.  This creates large exposure on spin-off transactions where a private letter ruling may otherwise provide comfort.  David also addressed another aspect of Code section 355(e)-  the 50-percent ownership change rule.  As stated above, Code section 355(e) applies only if a spin-off is part of a plan pursuant to which one or more persons acquire directly or indirectly stock representing a 50-percent or greater interest in the distributing or controlled corporation.  At present there is no guidance in the Code or Treasury Regulations as to the operation of this rule.  David suggested looking at Code section 382 for guidance.</w:t>
      </w:r>
    </w:p>
    <w:p>
      <w:pPr>
        <w:pStyle w:val="Normal"/>
        <w:rPr/>
      </w:pPr>
      <w:r>
        <w:rPr/>
      </w:r>
    </w:p>
    <w:p>
      <w:pPr>
        <w:pStyle w:val="Normal"/>
        <w:rPr/>
      </w:pPr>
      <w:r>
        <w:rPr/>
        <w:tab/>
        <w:t xml:space="preserve">David then briefly discussed the proposed changes to Code section 355 found in the Murkowski bill which grant the industry relief from Code section 355(e) for FERC required transactions.  Jay Silverman of CMS Energy pointed out that the bill should go further to grant the industry relief from Code section 355 for such transactions generally.  In particular, he is concerned that the spin-off followed by the sale to an RTO may not satisfy the requirement that the transaction is not a device for the distribution of earnings and profits under Code section 355. </w:t>
      </w:r>
    </w:p>
    <w:p>
      <w:pPr>
        <w:pStyle w:val="Normal"/>
        <w:rPr/>
      </w:pPr>
      <w:r>
        <w:rPr/>
      </w:r>
    </w:p>
    <w:p>
      <w:pPr>
        <w:pStyle w:val="Normal"/>
        <w:rPr/>
      </w:pPr>
      <w:r>
        <w:rPr/>
        <w:tab/>
        <w:t>The discussion then briefly turned to Code section 1033 and David Hardy summarized the relief granted thereunder in the Murkowski bill.  The question was asked as to why the House and Senate bills on Code section 1033 differ.</w:t>
      </w:r>
      <w:r>
        <w:rPr>
          <w:rStyle w:val="FootnoteCharacters"/>
          <w:rStyle w:val="FootnoteReference"/>
        </w:rPr>
        <w:footnoteReference w:customMarkFollows="1" w:id="6"/>
        <w:t>1</w:t>
      </w:r>
      <w:r>
        <w:rPr/>
        <w:t xml:space="preserve">  Finally, a brief discussion ensued as to the consequences of a spin-off followed by the transfer of the recently spun assets into a partnership.  Although not covered by Code section 355(e), there is a possibility that Treasury Regulations may cover these transactions in the future.  A concern now exists as to whether such a transaction would satisfy the "continuity of business enterprise" requirements.   It was agreed that this is an issue that the group may want to address in the future.</w:t>
      </w:r>
    </w:p>
    <w:p>
      <w:pPr>
        <w:pStyle w:val="Normal"/>
        <w:rPr>
          <w:b/>
        </w:rPr>
      </w:pPr>
      <w:r>
        <w:rPr>
          <w:b/>
        </w:rPr>
      </w:r>
    </w:p>
    <w:p>
      <w:pPr>
        <w:pStyle w:val="Normal"/>
        <w:rPr/>
      </w:pPr>
      <w:r>
        <w:rPr>
          <w:b/>
        </w:rPr>
        <w:tab/>
        <w:t>IV.</w:t>
        <w:tab/>
      </w:r>
      <w:r>
        <w:rPr>
          <w:b/>
          <w:u w:val="single"/>
        </w:rPr>
        <w:t>Hedging Programs and Compliance Matters</w:t>
      </w:r>
    </w:p>
    <w:p>
      <w:pPr>
        <w:pStyle w:val="Normal"/>
        <w:rPr/>
      </w:pPr>
      <w:r>
        <w:rPr/>
      </w:r>
    </w:p>
    <w:p>
      <w:pPr>
        <w:pStyle w:val="Normal"/>
        <w:rPr/>
      </w:pPr>
      <w:r>
        <w:rPr/>
        <w:tab/>
        <w:t>Andrea Kramer gave an overview of the general tax issues associated with financial products, trading and derivative transactions and issues of interest to energy trading operations, an area which has grown significantly in the last five years.  Andie has been involved in the legislative process since the early 1980s on financial products, trading, and hedging issues, including tax issues relating to such transactions.  Andie Kramer and Bill Pomierski recently submitted comments on the new Treasury Regulations addressing hedging transactions, a copy of which is attached as Item Eight.  Andie believes that the tax rules in the financial products area still contain a great deal of uncertainty and confusion, and that various issues need to be resolved, including the uncertainty of the treatment of weather derivatives.  Andie believes that the group is an excellent forum for addressing such issues.  Marty Pugh suggested creating a task force to address energy trading and hedging issues.</w:t>
      </w:r>
    </w:p>
    <w:p>
      <w:pPr>
        <w:pStyle w:val="Normal"/>
        <w:rPr/>
      </w:pPr>
      <w:r>
        <w:rPr/>
      </w:r>
    </w:p>
    <w:p>
      <w:pPr>
        <w:pStyle w:val="Normal"/>
        <w:rPr/>
      </w:pPr>
      <w:r>
        <w:rPr/>
        <w:tab/>
      </w:r>
      <w:r>
        <w:rPr>
          <w:b/>
        </w:rPr>
        <w:t>V.</w:t>
        <w:tab/>
        <w:t>Recent Developments on Nuclear Regulatory Commission</w:t>
      </w:r>
    </w:p>
    <w:p>
      <w:pPr>
        <w:pStyle w:val="Normal"/>
        <w:ind w:hanging="1440" w:start="1440" w:end="0"/>
        <w:rPr/>
      </w:pPr>
      <w:r>
        <w:rPr>
          <w:b/>
        </w:rPr>
        <w:tab/>
      </w:r>
      <w:r>
        <w:rPr>
          <w:b/>
          <w:u w:val="single"/>
        </w:rPr>
        <w:t>Decommissioning Funding Assurance Policies</w:t>
        <w:tab/>
        <w:tab/>
        <w:t>__</w:t>
      </w:r>
    </w:p>
    <w:p>
      <w:pPr>
        <w:pStyle w:val="Normal"/>
        <w:rPr>
          <w:b/>
          <w:u w:val="single"/>
        </w:rPr>
      </w:pPr>
      <w:r>
        <w:rPr>
          <w:b/>
          <w:u w:val="single"/>
        </w:rPr>
      </w:r>
    </w:p>
    <w:p>
      <w:pPr>
        <w:pStyle w:val="Normal"/>
        <w:rPr/>
      </w:pPr>
      <w:r>
        <w:rPr/>
        <w:tab/>
        <w:t>Robert S. Wood from the Nuclear Regulatory Commission (the "NRC") addressed the group on recent developments at the NRC.  Bob spoke briefly about the 1998 Decommissioning Funding Assurance Rule and recently approved license transfers.  He then discussed the decommissioning considerations that arose in recent license transfers.  Bob pointed out that, as a health and safety agency, the NRC has different concerns than a state public utility commission when reviewing license transfers for nuclear power plants.  The NRC, accordingly, has imposed certain conditions upon the transfers to ensure there will be adequate funds for decommissioning.  One such condition prohibits buyers from investing in stock of their own company or in stock of companies in the nuclear industry in general.</w:t>
      </w:r>
    </w:p>
    <w:p>
      <w:pPr>
        <w:pStyle w:val="Normal"/>
        <w:rPr/>
      </w:pPr>
      <w:r>
        <w:rPr/>
      </w:r>
    </w:p>
    <w:p>
      <w:pPr>
        <w:pStyle w:val="Normal"/>
        <w:rPr/>
      </w:pPr>
      <w:r>
        <w:rPr/>
        <w:tab/>
        <w:t>Bob explained current rule-making initiatives at the NRC, including the proposed rule on decommissioning trust provisions.  A summary of the proposed rule is included as Item One, and the proposed rule can be found on the NRC website (http://www.nrc.gov/) and is attached as a separate document to this mailing.  He stated that the NRC welcomes comments from the industry on its various rules.</w:t>
      </w:r>
    </w:p>
    <w:p>
      <w:pPr>
        <w:pStyle w:val="Normal"/>
        <w:rPr/>
      </w:pPr>
      <w:r>
        <w:rPr/>
      </w:r>
    </w:p>
    <w:p>
      <w:pPr>
        <w:pStyle w:val="Normal"/>
        <w:rPr/>
      </w:pPr>
      <w:r>
        <w:rPr/>
        <w:tab/>
        <w:t xml:space="preserve">Next, Bob gave the group a status report on decommissioning funding.  He stated that licensees appear to be in compliance thus far, and that the review is expected to be completed by the end of June.  He suggested that the NRC may issue guidance to clarify the reporting rules on decommissioning funding.  </w:t>
      </w:r>
    </w:p>
    <w:p>
      <w:pPr>
        <w:pStyle w:val="Normal"/>
        <w:rPr/>
      </w:pPr>
      <w:r>
        <w:rPr/>
      </w:r>
    </w:p>
    <w:p>
      <w:pPr>
        <w:pStyle w:val="Normal"/>
        <w:rPr/>
      </w:pPr>
      <w:r>
        <w:rPr/>
        <w:tab/>
        <w:t>There were some questions posed by the group, especially concerning the proposed rule prohibiting investment in the nuclear industry.  Bob stated that the rules do not intend to prohibit investment in broad-based vehicles such as mutual funds, but is more focused on prohibiting direct investment.  Item One of the attachments is a summary of the proposed rule.  The group intends to prepare comments on the Proposed Rule and revised Regulatory Guide.  If you are interested in participating on a task force to draft comments please contact Marty Pugh.</w:t>
      </w:r>
    </w:p>
    <w:p>
      <w:pPr>
        <w:pStyle w:val="Normal"/>
        <w:rPr>
          <w:b/>
        </w:rPr>
      </w:pPr>
      <w:r>
        <w:rPr>
          <w:b/>
        </w:rPr>
      </w:r>
    </w:p>
    <w:p>
      <w:pPr>
        <w:pStyle w:val="Normal"/>
        <w:rPr>
          <w:b/>
        </w:rPr>
      </w:pPr>
      <w:r>
        <w:rPr>
          <w:b/>
        </w:rPr>
        <w:tab/>
        <w:t>VI.</w:t>
        <w:tab/>
      </w:r>
      <w:r>
        <w:rPr>
          <w:b/>
          <w:u w:val="single"/>
        </w:rPr>
        <w:t>Closing Comments</w:t>
      </w:r>
    </w:p>
    <w:p>
      <w:pPr>
        <w:pStyle w:val="Normal"/>
        <w:rPr>
          <w:b/>
        </w:rPr>
      </w:pPr>
      <w:r>
        <w:rPr>
          <w:b/>
        </w:rPr>
      </w:r>
    </w:p>
    <w:p>
      <w:pPr>
        <w:sectPr>
          <w:headerReference w:type="default" r:id="rId15"/>
          <w:headerReference w:type="first" r:id="rId16"/>
          <w:footerReference w:type="default" r:id="rId17"/>
          <w:footerReference w:type="first" r:id="rId18"/>
          <w:footnotePr>
            <w:numFmt w:val="decimal"/>
          </w:footnotePr>
          <w:type w:val="nextPage"/>
          <w:pgSz w:w="12240" w:h="15840"/>
          <w:pgMar w:left="1728" w:right="1728" w:gutter="0" w:header="720" w:top="1440" w:footer="720" w:bottom="1440"/>
          <w:pgNumType w:start="1" w:fmt="decimal"/>
          <w:formProt w:val="false"/>
          <w:titlePg/>
          <w:textDirection w:val="lrTb"/>
          <w:docGrid w:type="default" w:linePitch="360" w:charSpace="0"/>
        </w:sectPr>
        <w:pStyle w:val="Normal"/>
        <w:rPr/>
      </w:pPr>
      <w:r>
        <w:rPr/>
        <w:tab/>
        <w:t xml:space="preserve">Participants were invited to contact Marty Pugh, David Hardy, Laurie Marsh, Andrea Kramer or Bill Pomierski independently if they have any issues that they would like to discuss at a Energy Restructuring &amp; Decommissioning Tax Group event in the future.  David Hardy ended the meeting by commenting on the vision and goals of the group in general, and how he believes that it will be an effective vehicle for addressing a broad range of tax issues of importance to the energy industry in the future.  This is an important and dynamic time in the energy industry, and the group plans to take advantage of the experience of McDermott, Will &amp; Emery's tax practice in providing guidance, analyzing and effectuating change in a broad range of areas of importance in the industry.  </w:t>
      </w:r>
    </w:p>
    <w:p>
      <w:pPr>
        <w:pStyle w:val="Normal"/>
        <w:rPr>
          <w:b/>
          <w:smallCaps/>
        </w:rPr>
      </w:pPr>
      <w:r>
        <w:rPr>
          <w:b/>
          <w:smallCaps/>
        </w:rPr>
        <w:t>Draft Statutory Language For Decommissioning Provisions Contained in the President's Budget Proposal</w:t>
      </w:r>
    </w:p>
    <w:p>
      <w:pPr>
        <w:pStyle w:val="Normal"/>
        <w:rPr/>
      </w:pPr>
      <w:r>
        <w:rPr/>
      </w:r>
    </w:p>
    <w:p>
      <w:pPr>
        <w:pStyle w:val="Normal"/>
        <w:rPr>
          <w:b/>
          <w:smallCaps/>
          <w:u w:val="single"/>
        </w:rPr>
      </w:pPr>
      <w:r>
        <w:rPr>
          <w:b/>
          <w:smallCaps/>
          <w:u w:val="single"/>
        </w:rPr>
        <w:t>Item Four</w:t>
      </w:r>
    </w:p>
    <w:p>
      <w:pPr>
        <w:pStyle w:val="Normal"/>
        <w:rPr>
          <w:b/>
          <w:smallCaps/>
          <w:u w:val="single"/>
        </w:rPr>
      </w:pPr>
      <w:r>
        <w:rPr>
          <w:b/>
          <w:smallCaps/>
          <w:u w:val="single"/>
        </w:rPr>
      </w:r>
    </w:p>
    <w:p>
      <w:pPr>
        <w:pStyle w:val="Normal"/>
        <w:spacing w:lineRule="auto" w:line="480"/>
        <w:ind w:start="720" w:end="720"/>
        <w:rPr/>
      </w:pPr>
      <w:r>
        <w:rPr/>
        <w:t>a)  IN GENERAL.--Subsection (a) of section 468A is amended to read as follows:</w:t>
      </w:r>
    </w:p>
    <w:p>
      <w:pPr>
        <w:pStyle w:val="Normal"/>
        <w:spacing w:lineRule="auto" w:line="480"/>
        <w:ind w:firstLine="720" w:start="1440" w:end="720"/>
        <w:rPr/>
      </w:pPr>
      <w:r>
        <w:rPr/>
        <w:t>"(a)  IN GENERAL.--If the taxpayer elects the application of this section, there shall be allowed a deduction for any taxable year in accordance with subsections (d) and (e) of this section."</w:t>
      </w:r>
    </w:p>
    <w:p>
      <w:pPr>
        <w:pStyle w:val="Normal"/>
        <w:spacing w:lineRule="auto" w:line="480"/>
        <w:ind w:start="720" w:end="720"/>
        <w:rPr/>
      </w:pPr>
      <w:r>
        <w:rPr/>
        <w:t>(b)  INCREASE IN AMOUNT PERMITTED TO BE PAID INTO DECOMMISSIONING RESERVE FUND.--Subsection (b) of section 468A is amended to read as follows:</w:t>
      </w:r>
    </w:p>
    <w:p>
      <w:pPr>
        <w:pStyle w:val="Normal"/>
        <w:spacing w:lineRule="auto" w:line="480"/>
        <w:ind w:firstLine="720" w:start="1440" w:end="720"/>
        <w:rPr/>
      </w:pPr>
      <w:r>
        <w:rPr/>
        <w:t>"(b)  LIMITATION ON AMOUNTS PAID INTO FUND.--</w:t>
      </w:r>
    </w:p>
    <w:p>
      <w:pPr>
        <w:pStyle w:val="Normal"/>
        <w:spacing w:lineRule="auto" w:line="480"/>
        <w:ind w:firstLine="720" w:start="2160" w:end="720"/>
        <w:rPr/>
      </w:pPr>
      <w:r>
        <w:rPr/>
        <w:t>(1)  The amount which a taxpayer may pay into the Fund shall not exceed the ruling amount applicable to such taxable year.</w:t>
      </w:r>
    </w:p>
    <w:p>
      <w:pPr>
        <w:pStyle w:val="Normal"/>
        <w:spacing w:lineRule="auto" w:line="480"/>
        <w:ind w:firstLine="720" w:start="2160" w:end="720"/>
        <w:rPr/>
      </w:pPr>
      <w:r>
        <w:rPr/>
        <w:t>(2)  Notwithstanding subsection (b)(1), any taxpayer maintaining a Fund in which this section applies with respect to a nuclear powerplant may transfer into such Fund cash or other assets held in any nonqualified fund of such taxpayer with respect to such powerplant not to exceed the amount of pre-1984 decommissioning costs.  To the extent that the amount of pre-1984 decommissioning costs exceed the amount held by a taxpayer in any nonqualified fund, such taxpayer shall be allowed to pay into the Fund the difference between the amount of pre-1984 decommissioning costs and the amount transferred from any nonqualified fund.</w:t>
      </w:r>
    </w:p>
    <w:p>
      <w:pPr>
        <w:pStyle w:val="Normal"/>
        <w:spacing w:lineRule="auto" w:line="480"/>
        <w:ind w:firstLine="720" w:start="2880" w:end="720"/>
        <w:rPr/>
      </w:pPr>
      <w:r>
        <w:rPr/>
        <w:t>(A)  The term "pre-1984 decommissioning costs" means the present value of the nuclear decommissioning costs multiplied by the ratio representing the number of years the plant was in operation prior to 1984 to the estimated useful life of such nuclear plant."</w:t>
      </w:r>
    </w:p>
    <w:p>
      <w:pPr>
        <w:pStyle w:val="Normal"/>
        <w:rPr>
          <w:b/>
        </w:rPr>
      </w:pPr>
      <w:r>
        <w:rPr>
          <w:b/>
        </w:rPr>
        <w:t>[Query - Is it necessary to have specific language regarding the transfer from the nonqualified fund or is the intention that the taxpayer may pay the amount of pre-1984 decommissioning costs into the Fund from any source?]</w:t>
      </w:r>
    </w:p>
    <w:p>
      <w:pPr>
        <w:pStyle w:val="Normal"/>
        <w:rPr>
          <w:b/>
        </w:rPr>
      </w:pPr>
      <w:r>
        <w:rPr>
          <w:b/>
        </w:rPr>
      </w:r>
    </w:p>
    <w:p>
      <w:pPr>
        <w:pStyle w:val="Normal"/>
        <w:rPr>
          <w:b/>
        </w:rPr>
      </w:pPr>
      <w:r>
        <w:rPr>
          <w:b/>
        </w:rPr>
        <w:t>[Query:  Was this payment intended to be determined at a certain point in time?  It appears more appropriate to re-compute the amount of pre-1984 decommissioning costs each time the taxpayer is required to request a new schedule of ruling amounts resulting from a change in the total estimated cost of decommissioning.]</w:t>
      </w:r>
    </w:p>
    <w:p>
      <w:pPr>
        <w:pStyle w:val="Normal"/>
        <w:rPr>
          <w:b/>
        </w:rPr>
      </w:pPr>
      <w:r>
        <w:rPr>
          <w:b/>
        </w:rPr>
      </w:r>
    </w:p>
    <w:p>
      <w:pPr>
        <w:pStyle w:val="Normal"/>
        <w:spacing w:lineRule="auto" w:line="480"/>
        <w:ind w:start="720" w:end="720"/>
        <w:rPr/>
      </w:pPr>
      <w:r>
        <w:rPr/>
        <w:t>(c)  INCOME AND DEDUCTIONS OF THE TAXPAYER.--Section 468A(c)(1)(A) is amended by striking (e)(4)(B) and inserting (f)(4)(B).</w:t>
      </w:r>
    </w:p>
    <w:p>
      <w:pPr>
        <w:pStyle w:val="Normal"/>
        <w:spacing w:lineRule="auto" w:line="480"/>
        <w:ind w:start="720" w:end="720"/>
        <w:rPr/>
      </w:pPr>
      <w:r>
        <w:rPr/>
        <w:t>Section 468A(c)(1)(B) is amended by striking (e)(6) and inserting (f)(6), and striking (e)(7) and inserting (f)(7).</w:t>
      </w:r>
    </w:p>
    <w:p>
      <w:pPr>
        <w:pStyle w:val="Normal"/>
        <w:spacing w:lineRule="auto" w:line="480"/>
        <w:ind w:start="720" w:end="720"/>
        <w:rPr/>
      </w:pPr>
      <w:r>
        <w:rPr/>
        <w:t>(d)  DEDUCTION OF NUCLEAR DECOMMISSIONING COSTS WHEN PAID.--Paragraph (2) of section 468A(c) is amended to read as follows:</w:t>
      </w:r>
    </w:p>
    <w:p>
      <w:pPr>
        <w:pStyle w:val="Normal"/>
        <w:spacing w:lineRule="auto" w:line="480"/>
        <w:ind w:firstLine="720" w:start="2160" w:end="720"/>
        <w:rPr/>
      </w:pPr>
      <w:r>
        <w:rPr/>
        <w:t>"(2)  DEDUCTION OF NUCLEAR DECOMMISSIONING COSTS.--In addition to any deduction under subsection (a), nuclear decommissioning costs paid or incurred by the taxpayer during any taxable year shall constitute ordinary and necessary expenses in carrying on a trade or business under section 162."</w:t>
      </w:r>
    </w:p>
    <w:p>
      <w:pPr>
        <w:pStyle w:val="Normal"/>
        <w:spacing w:lineRule="auto" w:line="480"/>
        <w:ind w:start="720" w:end="720"/>
        <w:rPr/>
      </w:pPr>
      <w:r>
        <w:rPr/>
        <w:t>(e)  REQUEST FOR SCHEDULE OF RULING AMOUNTS.--Paragraph (1) of section 468A(d) is amended to read as follows:</w:t>
      </w:r>
    </w:p>
    <w:p>
      <w:pPr>
        <w:pStyle w:val="Normal"/>
        <w:spacing w:lineRule="auto" w:line="480"/>
        <w:ind w:firstLine="720" w:start="2160" w:end="720"/>
        <w:rPr/>
      </w:pPr>
      <w:r>
        <w:rPr/>
        <w:t>"(1)  REQUEST REQUIRED.--No deduction shall be allowed for any payment pursuant to subsection (b)(1) to the Fund unless the taxpayer requests, and receives, from the Secretary a schedule of ruling amounts."</w:t>
      </w:r>
    </w:p>
    <w:p>
      <w:pPr>
        <w:pStyle w:val="Normal"/>
        <w:spacing w:lineRule="auto" w:line="480"/>
        <w:ind w:start="720" w:end="720"/>
        <w:rPr/>
      </w:pPr>
      <w:r>
        <w:rPr/>
        <w:t>(f)  PRE-1984 DECOMMISSIONING COSTS.--Section 468A is amended by re-designating subsections (e), (f) and (g) as subsections (f), (g) and (h), respectively, and by inserting after subsection (d) the following new subsection:</w:t>
      </w:r>
    </w:p>
    <w:p>
      <w:pPr>
        <w:pStyle w:val="Normal"/>
        <w:spacing w:lineRule="auto" w:line="480"/>
        <w:ind w:firstLine="720" w:start="1440" w:end="720"/>
        <w:rPr/>
      </w:pPr>
      <w:r>
        <w:rPr/>
        <w:t>"(e)  PRE-1984 DECOMISSIONING COSTS</w:t>
      </w:r>
    </w:p>
    <w:p>
      <w:pPr>
        <w:pStyle w:val="Normal"/>
        <w:spacing w:lineRule="auto" w:line="480"/>
        <w:ind w:firstLine="720" w:start="2160" w:end="720"/>
        <w:rPr/>
      </w:pPr>
      <w:r>
        <w:rPr/>
        <w:t>(1)  DEDUCTION FOR THE AMOUNT OF PRE-1984 DECOMMISSIONING COSTS</w:t>
      </w:r>
    </w:p>
    <w:p>
      <w:pPr>
        <w:pStyle w:val="Normal"/>
        <w:spacing w:lineRule="auto" w:line="480"/>
        <w:ind w:firstLine="720" w:start="2880" w:end="720"/>
        <w:rPr/>
      </w:pPr>
      <w:r>
        <w:rPr/>
        <w:t>(A)  IN GENERAL.--The deduction allowed by subsection (a) for any contribution permitted by subsection (b)(2) shall be allowed ratably over the remaining estimated useful life (with the meaning of subsection (d)(2)(A)) of the nuclear powerplant beginning with the year of such contribution.</w:t>
      </w:r>
    </w:p>
    <w:p>
      <w:pPr>
        <w:pStyle w:val="Normal"/>
        <w:spacing w:lineRule="auto" w:line="480"/>
        <w:ind w:firstLine="720" w:start="2880" w:end="720"/>
        <w:rPr/>
      </w:pPr>
      <w:r>
        <w:rPr/>
        <w:t>(B)  DENIAL OF DEDUCTION FOR PREVIOUSLY DEDUCTED AMOUNTS.--No deduction shall be allowed for any transfer under subsection (b)(2) of an amount for which a deduction was allowed when such amount was paid into the nonqualified fund or if such amount was excluded from income.  For purposes of the preceding sentence, a ratable portion of each transfer shall be treated as being from previously deducted amounts to the extent thereof.</w:t>
      </w:r>
    </w:p>
    <w:p>
      <w:pPr>
        <w:pStyle w:val="Normal"/>
        <w:spacing w:lineRule="auto" w:line="480"/>
        <w:ind w:firstLine="720" w:start="2160" w:end="720"/>
        <w:rPr/>
      </w:pPr>
      <w:r>
        <w:rPr/>
        <w:t>(2)  TRANSFERS OF QUALIFIED FUNDS AFTER CONTRIBUTION OF PRE-1984 DECOMMISIONING COSTS</w:t>
      </w:r>
    </w:p>
    <w:p>
      <w:pPr>
        <w:pStyle w:val="Normal"/>
        <w:spacing w:lineRule="auto" w:line="480"/>
        <w:ind w:firstLine="720" w:start="2880" w:end="720"/>
        <w:rPr/>
      </w:pPr>
      <w:r>
        <w:rPr/>
        <w:t>(A)  If any contribution permitted by subsection (b)(2) is made to any Fund to which this section applies, and</w:t>
      </w:r>
    </w:p>
    <w:p>
      <w:pPr>
        <w:pStyle w:val="Normal"/>
        <w:spacing w:lineRule="auto" w:line="480"/>
        <w:ind w:firstLine="720" w:start="2880" w:end="720"/>
        <w:rPr/>
      </w:pPr>
      <w:r>
        <w:rPr/>
        <w:t>(B)  such Fund is transferred thereafter,</w:t>
      </w:r>
    </w:p>
    <w:p>
      <w:pPr>
        <w:pStyle w:val="Normal"/>
        <w:spacing w:lineRule="auto" w:line="480"/>
        <w:ind w:start="2880" w:end="720"/>
        <w:rPr/>
      </w:pPr>
      <w:r>
        <w:rPr/>
        <w:t xml:space="preserve">any deduction under this subsection for taxable years ending after the date that such Fund is transferred shall be allowed to the </w:t>
      </w:r>
      <w:r>
        <w:rPr>
          <w:u w:val="single"/>
        </w:rPr>
        <w:t>transferee</w:t>
      </w:r>
      <w:r>
        <w:rPr/>
        <w:t xml:space="preserve"> and not to the </w:t>
      </w:r>
      <w:r>
        <w:rPr>
          <w:u w:val="single"/>
        </w:rPr>
        <w:t>transferor</w:t>
      </w:r>
      <w:r>
        <w:rPr/>
        <w:t>.  The preceding sentence shall not apply if the transferor is an organization exempt from tax by this chapter.  [Emphasis added.]</w:t>
      </w:r>
    </w:p>
    <w:p>
      <w:pPr>
        <w:pStyle w:val="Normal"/>
        <w:rPr>
          <w:b/>
        </w:rPr>
      </w:pPr>
      <w:r>
        <w:rPr>
          <w:b/>
        </w:rPr>
        <w:t>[Query:  Whether instead the deduction should be allowed to the transferor and not transferee because the current proposal creates a disincentive for the payment of the amount of pre-1984 decommissioning costs where a transfer of the nuclear powerplant is contemplated.  The taxpayer making the payment of the amount of pre-1984 decommissioning costs would otherwise be eligible for a deduction upon the transfer of the nuclear powerplant under Treasury regulation section 1.461-4(d)(5).]</w:t>
      </w:r>
    </w:p>
    <w:p>
      <w:pPr>
        <w:pStyle w:val="Normal"/>
        <w:rPr>
          <w:b/>
        </w:rPr>
      </w:pPr>
      <w:r>
        <w:rPr>
          <w:b/>
        </w:rPr>
      </w:r>
    </w:p>
    <w:p>
      <w:pPr>
        <w:pStyle w:val="Normal"/>
        <w:spacing w:lineRule="auto" w:line="480"/>
        <w:ind w:firstLine="720" w:start="2160" w:end="720"/>
        <w:rPr/>
      </w:pPr>
      <w:r>
        <w:rPr/>
        <w:t>(3)  NO EFFECT ON RULING AMOUNT.--Any payment permitted in subsection (b)(2) shall not be taken into account in determining the ruling amount under subsection (d)(2).</w:t>
      </w:r>
    </w:p>
    <w:p>
      <w:pPr>
        <w:pStyle w:val="Normal"/>
        <w:spacing w:lineRule="auto" w:line="480"/>
        <w:ind w:firstLine="720" w:start="2160" w:end="720"/>
        <w:rPr/>
      </w:pPr>
      <w:r>
        <w:rPr/>
        <w:t>(4)  NONQUALIFIED FUND.--For purposes of this subsection, the term "nonqualified fund" means, with respect to any nuclear powerplant, any fund in which amounts are irrevocably set aside pursuant to the requirements of any State or Federal agency exclusively for the purpose of funding the decommissioning of such powerplant and which is not a qualified nuclear decommissioning reserve fund under this section.</w:t>
      </w:r>
    </w:p>
    <w:p>
      <w:pPr>
        <w:pStyle w:val="Normal"/>
        <w:spacing w:lineRule="auto" w:line="480"/>
        <w:ind w:firstLine="720" w:start="2160" w:end="720"/>
        <w:rPr/>
      </w:pPr>
      <w:r>
        <w:rPr/>
        <w:t>(5)  ADJUSTED BASIS OF TRANSFERRED ASSETS.--In the case of a payment to which this section applies, the adjusted basis of any property permitted to be transferred to a Fund shall be the adjusted basis in the property prior to transfer increased by the amount of gain (if any) recognized on the transfer."</w:t>
      </w:r>
    </w:p>
    <w:p>
      <w:pPr>
        <w:pStyle w:val="Normal"/>
        <w:spacing w:lineRule="auto" w:line="480"/>
        <w:ind w:start="720" w:end="720"/>
        <w:rPr/>
      </w:pPr>
      <w:r>
        <w:rPr/>
        <w:t>(g)  FUND TRANSFERS AND CONTRIBUTIONS AFTER OPERATING LIFE.--Subsection (f) of section 468A is amended by adding at the end the following new paragraphs:</w:t>
      </w:r>
    </w:p>
    <w:p>
      <w:pPr>
        <w:pStyle w:val="Normal"/>
        <w:spacing w:lineRule="auto" w:line="480"/>
        <w:ind w:firstLine="720" w:start="2160" w:end="720"/>
        <w:rPr/>
      </w:pPr>
      <w:r>
        <w:rPr/>
        <w:t>"(8)  TREATMENT OF FUND TRANSFERS.--If, in connection with the transfer of the taxpayer's interest in a nuclear powerplant, the taxpayer transfers the Fund with respect to such powerplant to the transferee of such interest and the transferee elects to continue the application of this section of such Fund--</w:t>
      </w:r>
    </w:p>
    <w:p>
      <w:pPr>
        <w:pStyle w:val="Normal"/>
        <w:spacing w:lineRule="auto" w:line="480"/>
        <w:ind w:firstLine="720" w:start="2880" w:end="720"/>
        <w:rPr/>
      </w:pPr>
      <w:r>
        <w:rPr/>
        <w:t>(A)  the transfer of such Fund shall not cause such Fund to be disqualified from the application of this section, and</w:t>
      </w:r>
    </w:p>
    <w:p>
      <w:pPr>
        <w:pStyle w:val="Normal"/>
        <w:spacing w:lineRule="auto" w:line="480"/>
        <w:ind w:firstLine="720" w:start="2880" w:end="720"/>
        <w:rPr/>
      </w:pPr>
      <w:r>
        <w:rPr/>
        <w:t>(B)  no amount shall be treated as distributed from such Fund, or be includible in gross income, by reason of such transfer.</w:t>
      </w:r>
    </w:p>
    <w:p>
      <w:pPr>
        <w:pStyle w:val="Normal"/>
        <w:spacing w:lineRule="auto" w:line="480"/>
        <w:ind w:firstLine="720" w:start="2160" w:end="720"/>
        <w:rPr/>
      </w:pPr>
      <w:r>
        <w:rPr/>
        <w:t>(9)  CONTRIBUTIONS AFTER OPERATING LIFE.--Notwithstanding any other provision of this section, a taxpayer may make deductible payments to the Fund in any taxable year between the end of the operating life and the termination of the license issued by the Nuclear Regulatory Commission for the nuclear powerplant to which the Fund relates but only if such payments do not cause the assets of the Fund to exceed the nuclear decommissioning costs allocable to the taxpayer's current or former interest in the nuclear powerplant to which the Fund relates.  The foregoing limitation shall be applied by taking into account a reasonable rate of inflation for the nuclear decommissioning costs and a reasonable after-tax rate of return on the assets of the Fund until such assets are anticipated to be expended."</w:t>
      </w:r>
    </w:p>
    <w:p>
      <w:pPr>
        <w:pStyle w:val="Normal"/>
        <w:spacing w:lineRule="auto" w:line="480"/>
        <w:ind w:start="720" w:end="720"/>
        <w:rPr/>
      </w:pPr>
      <w:r>
        <w:rPr/>
        <w:t>(h)  EFFECTIVE DATE.--The amendments made by this section shall apply to taxable years beginning after December 31, 2001.</w:t>
      </w:r>
    </w:p>
    <w:p>
      <w:pPr>
        <w:sectPr>
          <w:headerReference w:type="default" r:id="rId19"/>
          <w:headerReference w:type="first" r:id="rId20"/>
          <w:footerReference w:type="default" r:id="rId21"/>
          <w:footerReference w:type="first" r:id="rId22"/>
          <w:footnotePr>
            <w:numFmt w:val="decimal"/>
          </w:footnotePr>
          <w:type w:val="nextPage"/>
          <w:pgSz w:w="12240" w:h="15840"/>
          <w:pgMar w:left="1728" w:right="1728" w:gutter="0" w:header="720" w:top="1440" w:footer="720" w:bottom="1440"/>
          <w:pgNumType w:start="1" w:fmt="decimal"/>
          <w:formProt w:val="false"/>
          <w:titlePg/>
          <w:textDirection w:val="lrTb"/>
          <w:docGrid w:type="default" w:linePitch="360" w:charSpace="0"/>
        </w:sectPr>
        <w:pStyle w:val="Normal"/>
        <w:rPr>
          <w:b/>
          <w:smallCaps/>
        </w:rPr>
      </w:pPr>
      <w:r>
        <w:rPr>
          <w:b/>
          <w:smallCaps/>
        </w:rPr>
      </w:r>
    </w:p>
    <w:p>
      <w:pPr>
        <w:pStyle w:val="Normal"/>
        <w:jc w:val="center"/>
        <w:rPr>
          <w:b/>
          <w:smallCaps/>
        </w:rPr>
      </w:pPr>
      <w:r>
        <w:rPr>
          <w:b/>
          <w:smallCaps/>
        </w:rPr>
        <w:t>Chart Summarizing Nuclear Decommissioning Legislative Activity 1999-2001</w:t>
      </w:r>
    </w:p>
    <w:p>
      <w:pPr>
        <w:pStyle w:val="Normal"/>
        <w:rPr/>
      </w:pPr>
      <w:r>
        <w:rPr/>
      </w:r>
    </w:p>
    <w:p>
      <w:pPr>
        <w:pStyle w:val="Normal"/>
        <w:rPr>
          <w:b/>
          <w:smallCaps/>
          <w:u w:val="single"/>
        </w:rPr>
      </w:pPr>
      <w:r>
        <w:rPr>
          <w:b/>
          <w:smallCaps/>
          <w:u w:val="single"/>
        </w:rPr>
        <w:t>Item Five</w:t>
      </w:r>
    </w:p>
    <w:p>
      <w:pPr>
        <w:pStyle w:val="Normal"/>
        <w:rPr>
          <w:b/>
          <w:smallCaps/>
          <w:u w:val="single"/>
        </w:rPr>
      </w:pPr>
      <w:r>
        <w:rPr>
          <w:b/>
          <w:smallCaps/>
          <w:u w:val="single"/>
        </w:rPr>
      </w:r>
    </w:p>
    <w:p>
      <w:pPr>
        <w:pStyle w:val="Normal"/>
        <w:jc w:val="center"/>
        <w:rPr>
          <w:b/>
          <w:sz w:val="32"/>
          <w:u w:val="single"/>
        </w:rPr>
      </w:pPr>
      <w:r>
        <w:rPr>
          <w:b/>
          <w:sz w:val="32"/>
          <w:u w:val="single"/>
        </w:rPr>
        <w:t>Summary of Legislative Activity 1999-2001</w:t>
      </w:r>
    </w:p>
    <w:p>
      <w:pPr>
        <w:pStyle w:val="Normal"/>
        <w:jc w:val="center"/>
        <w:rPr>
          <w:b/>
          <w:sz w:val="28"/>
          <w:u w:val="single"/>
        </w:rPr>
      </w:pPr>
      <w:r>
        <w:rPr>
          <w:b/>
          <w:sz w:val="28"/>
          <w:u w:val="single"/>
        </w:rPr>
      </w:r>
    </w:p>
    <w:tbl>
      <w:tblPr>
        <w:tblW w:w="14850" w:type="dxa"/>
        <w:jc w:val="start"/>
        <w:tblInd w:w="-162" w:type="dxa"/>
        <w:tblLayout w:type="fixed"/>
        <w:tblCellMar>
          <w:top w:w="0" w:type="dxa"/>
          <w:start w:w="108" w:type="dxa"/>
          <w:bottom w:w="0" w:type="dxa"/>
          <w:end w:w="108" w:type="dxa"/>
        </w:tblCellMar>
      </w:tblPr>
      <w:tblGrid>
        <w:gridCol w:w="2250"/>
        <w:gridCol w:w="2790"/>
        <w:gridCol w:w="2880"/>
        <w:gridCol w:w="2700"/>
        <w:gridCol w:w="4230"/>
      </w:tblGrid>
      <w:tr>
        <w:trPr/>
        <w:tc>
          <w:tcPr>
            <w:tcW w:w="2250" w:type="dxa"/>
            <w:tcBorders>
              <w:top w:val="single" w:sz="4" w:space="0" w:color="000000"/>
              <w:start w:val="single" w:sz="4" w:space="0" w:color="000000"/>
              <w:end w:val="single" w:sz="4" w:space="0" w:color="000000"/>
            </w:tcBorders>
          </w:tcPr>
          <w:p>
            <w:pPr>
              <w:pStyle w:val="Normal"/>
              <w:jc w:val="center"/>
              <w:rPr>
                <w:b/>
                <w:sz w:val="28"/>
                <w:u w:val="single"/>
              </w:rPr>
            </w:pPr>
            <w:r>
              <w:rPr>
                <w:b/>
                <w:sz w:val="28"/>
                <w:u w:val="single"/>
              </w:rPr>
              <w:t>Date Introduced</w:t>
            </w:r>
          </w:p>
        </w:tc>
        <w:tc>
          <w:tcPr>
            <w:tcW w:w="2790" w:type="dxa"/>
            <w:tcBorders>
              <w:top w:val="single" w:sz="4" w:space="0" w:color="000000"/>
              <w:start w:val="single" w:sz="4" w:space="0" w:color="000000"/>
              <w:end w:val="single" w:sz="4" w:space="0" w:color="000000"/>
            </w:tcBorders>
          </w:tcPr>
          <w:p>
            <w:pPr>
              <w:pStyle w:val="Normal"/>
              <w:jc w:val="center"/>
              <w:rPr>
                <w:b/>
                <w:sz w:val="28"/>
                <w:u w:val="single"/>
              </w:rPr>
            </w:pPr>
            <w:r>
              <w:rPr>
                <w:b/>
                <w:sz w:val="28"/>
                <w:u w:val="single"/>
              </w:rPr>
              <w:t>Bill Type</w:t>
            </w:r>
          </w:p>
        </w:tc>
        <w:tc>
          <w:tcPr>
            <w:tcW w:w="2880" w:type="dxa"/>
            <w:tcBorders>
              <w:top w:val="single" w:sz="4" w:space="0" w:color="000000"/>
              <w:start w:val="single" w:sz="4" w:space="0" w:color="000000"/>
              <w:end w:val="single" w:sz="4" w:space="0" w:color="000000"/>
            </w:tcBorders>
          </w:tcPr>
          <w:p>
            <w:pPr>
              <w:pStyle w:val="Normal"/>
              <w:jc w:val="center"/>
              <w:rPr>
                <w:b/>
                <w:sz w:val="28"/>
                <w:u w:val="single"/>
              </w:rPr>
            </w:pPr>
            <w:r>
              <w:rPr>
                <w:b/>
                <w:sz w:val="28"/>
                <w:u w:val="single"/>
              </w:rPr>
              <w:t>Proposal</w:t>
            </w:r>
          </w:p>
        </w:tc>
        <w:tc>
          <w:tcPr>
            <w:tcW w:w="2700" w:type="dxa"/>
            <w:tcBorders>
              <w:top w:val="single" w:sz="4" w:space="0" w:color="000000"/>
              <w:start w:val="single" w:sz="4" w:space="0" w:color="000000"/>
              <w:end w:val="single" w:sz="4" w:space="0" w:color="000000"/>
            </w:tcBorders>
          </w:tcPr>
          <w:p>
            <w:pPr>
              <w:pStyle w:val="Normal"/>
              <w:jc w:val="center"/>
              <w:rPr>
                <w:b/>
                <w:sz w:val="28"/>
                <w:u w:val="single"/>
              </w:rPr>
            </w:pPr>
            <w:r>
              <w:rPr>
                <w:b/>
                <w:sz w:val="28"/>
                <w:u w:val="single"/>
              </w:rPr>
              <w:t>Version</w:t>
            </w:r>
          </w:p>
        </w:tc>
        <w:tc>
          <w:tcPr>
            <w:tcW w:w="4230" w:type="dxa"/>
            <w:tcBorders>
              <w:top w:val="single" w:sz="4" w:space="0" w:color="000000"/>
              <w:start w:val="single" w:sz="4" w:space="0" w:color="000000"/>
              <w:end w:val="single" w:sz="4" w:space="0" w:color="000000"/>
            </w:tcBorders>
          </w:tcPr>
          <w:p>
            <w:pPr>
              <w:pStyle w:val="Normal"/>
              <w:jc w:val="center"/>
              <w:rPr>
                <w:b/>
                <w:sz w:val="28"/>
                <w:u w:val="single"/>
              </w:rPr>
            </w:pPr>
            <w:r>
              <w:rPr>
                <w:b/>
                <w:sz w:val="28"/>
                <w:u w:val="single"/>
              </w:rPr>
              <w:t>Revenue Estimate</w:t>
            </w:r>
          </w:p>
          <w:p>
            <w:pPr>
              <w:pStyle w:val="Normal"/>
              <w:jc w:val="center"/>
              <w:rPr>
                <w:b/>
                <w:sz w:val="28"/>
                <w:u w:val="single"/>
              </w:rPr>
            </w:pPr>
            <w:r>
              <w:rPr>
                <w:b/>
                <w:sz w:val="28"/>
              </w:rPr>
              <w:t>(10 Year)</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February 2, 1999</w:t>
            </w:r>
          </w:p>
          <w:p>
            <w:pPr>
              <w:pStyle w:val="Normal"/>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rPr/>
            </w:pPr>
            <w:r>
              <w:rPr/>
              <w:t>Budget Proposal</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Administration's FY 2000</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Remove COS Limitation</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Revenue Neutral (Treasury Department)</w:t>
            </w:r>
          </w:p>
          <w:p>
            <w:pPr>
              <w:pStyle w:val="Normal"/>
              <w:rPr/>
            </w:pPr>
            <w:r>
              <w:rPr/>
              <w:t>$100M (Joint Committee)</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June 8, 1999</w:t>
            </w:r>
          </w:p>
          <w:p>
            <w:pPr>
              <w:pStyle w:val="Normal"/>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rPr/>
            </w:pPr>
            <w:r>
              <w:rPr/>
              <w:t>Stand-alone Bill</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H.R. 2038 (Weller)</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Industry</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$1.6B</w:t>
            </w:r>
            <w:r>
              <w:rPr>
                <w:rStyle w:val="FootnoteCharacters"/>
                <w:rStyle w:val="FootnoteReference"/>
              </w:rPr>
              <w:footnoteReference w:customMarkFollows="1" w:id="7"/>
              <w:t>*</w:t>
            </w:r>
            <w:r>
              <w:rPr/>
              <w:t xml:space="preserve"> (Ernst &amp; Young)</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June 30, 1999</w:t>
            </w:r>
          </w:p>
          <w:p>
            <w:pPr>
              <w:pStyle w:val="Normal"/>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rPr/>
            </w:pPr>
            <w:r>
              <w:rPr/>
              <w:t>Stand-alone Bill</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S. 1308 (Murkowski)</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Industry</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N/A</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July 13, 1999</w:t>
            </w:r>
          </w:p>
          <w:p>
            <w:pPr>
              <w:pStyle w:val="Normal"/>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rPr/>
            </w:pPr>
            <w:r>
              <w:rPr/>
              <w:t>Tax Relief Bill</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H.R. 2488 (Archer)</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Joint Committee</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$1.075B (Joint Committee)</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August 5, 1999</w:t>
            </w:r>
          </w:p>
          <w:p>
            <w:pPr>
              <w:pStyle w:val="Normal"/>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rPr>
                <w:i/>
                <w:i/>
              </w:rPr>
            </w:pPr>
            <w:r>
              <w:rPr>
                <w:i/>
              </w:rPr>
              <w:t>Passed in House &amp; Senate</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H.R. 2488</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pPr>
            <w:r>
              <w:rPr/>
              <w:t>____</w:t>
            </w:r>
          </w:p>
        </w:tc>
        <w:tc>
          <w:tcPr>
            <w:tcW w:w="4230" w:type="dxa"/>
            <w:tcBorders>
              <w:top w:val="single" w:sz="4" w:space="0" w:color="000000"/>
              <w:start w:val="single" w:sz="4" w:space="0" w:color="000000"/>
              <w:bottom w:val="single" w:sz="4" w:space="0" w:color="000000"/>
              <w:end w:val="single" w:sz="4" w:space="0" w:color="000000"/>
            </w:tcBorders>
          </w:tcPr>
          <w:p>
            <w:pPr>
              <w:pStyle w:val="Normal"/>
              <w:jc w:val="center"/>
              <w:rPr/>
            </w:pPr>
            <w:r>
              <w:rPr/>
              <w:t>____</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September 23, 1999</w:t>
            </w:r>
          </w:p>
          <w:p>
            <w:pPr>
              <w:pStyle w:val="Normal"/>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rPr>
                <w:i/>
                <w:i/>
              </w:rPr>
            </w:pPr>
            <w:r>
              <w:rPr>
                <w:i/>
              </w:rPr>
              <w:t>Vetoed by President</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H.R. 2488</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pPr>
            <w:r>
              <w:rPr/>
              <w:t>____</w:t>
            </w:r>
          </w:p>
        </w:tc>
        <w:tc>
          <w:tcPr>
            <w:tcW w:w="4230" w:type="dxa"/>
            <w:tcBorders>
              <w:top w:val="single" w:sz="4" w:space="0" w:color="000000"/>
              <w:start w:val="single" w:sz="4" w:space="0" w:color="000000"/>
              <w:bottom w:val="single" w:sz="4" w:space="0" w:color="000000"/>
              <w:end w:val="single" w:sz="4" w:space="0" w:color="000000"/>
            </w:tcBorders>
          </w:tcPr>
          <w:p>
            <w:pPr>
              <w:pStyle w:val="Normal"/>
              <w:jc w:val="center"/>
              <w:rPr/>
            </w:pPr>
            <w:r>
              <w:rPr/>
              <w:t>____</w:t>
            </w:r>
          </w:p>
        </w:tc>
      </w:tr>
      <w:tr>
        <w:trPr/>
        <w:tc>
          <w:tcPr>
            <w:tcW w:w="2250" w:type="dxa"/>
            <w:tcBorders>
              <w:top w:val="single" w:sz="4" w:space="0" w:color="000000"/>
              <w:start w:val="single" w:sz="4" w:space="0" w:color="000000"/>
              <w:bottom w:val="double" w:sz="4" w:space="0" w:color="000000"/>
              <w:end w:val="single" w:sz="4" w:space="0" w:color="000000"/>
            </w:tcBorders>
          </w:tcPr>
          <w:p>
            <w:pPr>
              <w:pStyle w:val="Normal"/>
              <w:rPr/>
            </w:pPr>
            <w:r>
              <w:rPr/>
              <w:t>September 24, 1999</w:t>
            </w:r>
          </w:p>
          <w:p>
            <w:pPr>
              <w:pStyle w:val="Normal"/>
              <w:rPr/>
            </w:pPr>
            <w:r>
              <w:rPr/>
            </w:r>
          </w:p>
        </w:tc>
        <w:tc>
          <w:tcPr>
            <w:tcW w:w="2790" w:type="dxa"/>
            <w:tcBorders>
              <w:top w:val="single" w:sz="4" w:space="0" w:color="000000"/>
              <w:start w:val="single" w:sz="4" w:space="0" w:color="000000"/>
              <w:bottom w:val="double" w:sz="4" w:space="0" w:color="000000"/>
              <w:end w:val="single" w:sz="4" w:space="0" w:color="000000"/>
            </w:tcBorders>
          </w:tcPr>
          <w:p>
            <w:pPr>
              <w:pStyle w:val="Normal"/>
              <w:rPr/>
            </w:pPr>
            <w:r>
              <w:rPr/>
              <w:t>Energy Bill</w:t>
            </w:r>
          </w:p>
        </w:tc>
        <w:tc>
          <w:tcPr>
            <w:tcW w:w="2880" w:type="dxa"/>
            <w:tcBorders>
              <w:top w:val="single" w:sz="4" w:space="0" w:color="000000"/>
              <w:start w:val="single" w:sz="4" w:space="0" w:color="000000"/>
              <w:bottom w:val="double" w:sz="4" w:space="0" w:color="000000"/>
              <w:end w:val="single" w:sz="4" w:space="0" w:color="000000"/>
            </w:tcBorders>
          </w:tcPr>
          <w:p>
            <w:pPr>
              <w:pStyle w:val="Normal"/>
              <w:rPr/>
            </w:pPr>
            <w:r>
              <w:rPr/>
              <w:t>H.R. 2944 (Barton)</w:t>
            </w:r>
          </w:p>
        </w:tc>
        <w:tc>
          <w:tcPr>
            <w:tcW w:w="2700" w:type="dxa"/>
            <w:tcBorders>
              <w:top w:val="single" w:sz="4" w:space="0" w:color="000000"/>
              <w:start w:val="single" w:sz="4" w:space="0" w:color="000000"/>
              <w:bottom w:val="double" w:sz="4" w:space="0" w:color="000000"/>
              <w:end w:val="single" w:sz="4" w:space="0" w:color="000000"/>
            </w:tcBorders>
          </w:tcPr>
          <w:p>
            <w:pPr>
              <w:pStyle w:val="Normal"/>
              <w:rPr/>
            </w:pPr>
            <w:r>
              <w:rPr/>
              <w:t>Industry</w:t>
            </w:r>
          </w:p>
        </w:tc>
        <w:tc>
          <w:tcPr>
            <w:tcW w:w="4230" w:type="dxa"/>
            <w:tcBorders>
              <w:top w:val="single" w:sz="4" w:space="0" w:color="000000"/>
              <w:start w:val="single" w:sz="4" w:space="0" w:color="000000"/>
              <w:bottom w:val="double" w:sz="4" w:space="0" w:color="000000"/>
              <w:end w:val="single" w:sz="4" w:space="0" w:color="000000"/>
            </w:tcBorders>
          </w:tcPr>
          <w:p>
            <w:pPr>
              <w:pStyle w:val="Normal"/>
              <w:rPr/>
            </w:pPr>
            <w:r>
              <w:rPr/>
              <w:t>N/A</w:t>
            </w:r>
          </w:p>
        </w:tc>
      </w:tr>
      <w:tr>
        <w:trPr/>
        <w:tc>
          <w:tcPr>
            <w:tcW w:w="2250" w:type="dxa"/>
            <w:tcBorders>
              <w:top w:val="double" w:sz="4" w:space="0" w:color="000000"/>
              <w:start w:val="single" w:sz="4" w:space="0" w:color="000000"/>
              <w:bottom w:val="single" w:sz="4" w:space="0" w:color="000000"/>
              <w:end w:val="single" w:sz="4" w:space="0" w:color="000000"/>
            </w:tcBorders>
          </w:tcPr>
          <w:p>
            <w:pPr>
              <w:pStyle w:val="Normal"/>
              <w:rPr/>
            </w:pPr>
            <w:r>
              <w:rPr/>
              <w:t>February 21, 2000</w:t>
            </w:r>
          </w:p>
          <w:p>
            <w:pPr>
              <w:pStyle w:val="Normal"/>
              <w:rPr/>
            </w:pPr>
            <w:r>
              <w:rPr/>
            </w:r>
          </w:p>
        </w:tc>
        <w:tc>
          <w:tcPr>
            <w:tcW w:w="2790" w:type="dxa"/>
            <w:tcBorders>
              <w:top w:val="double" w:sz="4" w:space="0" w:color="000000"/>
              <w:start w:val="single" w:sz="4" w:space="0" w:color="000000"/>
              <w:bottom w:val="single" w:sz="4" w:space="0" w:color="000000"/>
              <w:end w:val="single" w:sz="4" w:space="0" w:color="000000"/>
            </w:tcBorders>
          </w:tcPr>
          <w:p>
            <w:pPr>
              <w:pStyle w:val="Normal"/>
              <w:rPr/>
            </w:pPr>
            <w:r>
              <w:rPr/>
              <w:t>Budget Proposal</w:t>
            </w:r>
          </w:p>
        </w:tc>
        <w:tc>
          <w:tcPr>
            <w:tcW w:w="2880" w:type="dxa"/>
            <w:tcBorders>
              <w:top w:val="double" w:sz="4" w:space="0" w:color="000000"/>
              <w:start w:val="single" w:sz="4" w:space="0" w:color="000000"/>
              <w:bottom w:val="single" w:sz="4" w:space="0" w:color="000000"/>
              <w:end w:val="single" w:sz="4" w:space="0" w:color="000000"/>
            </w:tcBorders>
          </w:tcPr>
          <w:p>
            <w:pPr>
              <w:pStyle w:val="Normal"/>
              <w:rPr/>
            </w:pPr>
            <w:r>
              <w:rPr/>
              <w:t>Administration's FY 2001</w:t>
            </w:r>
          </w:p>
        </w:tc>
        <w:tc>
          <w:tcPr>
            <w:tcW w:w="2700" w:type="dxa"/>
            <w:tcBorders>
              <w:top w:val="double" w:sz="4" w:space="0" w:color="000000"/>
              <w:start w:val="single" w:sz="4" w:space="0" w:color="000000"/>
              <w:bottom w:val="single" w:sz="4" w:space="0" w:color="000000"/>
              <w:end w:val="single" w:sz="4" w:space="0" w:color="000000"/>
            </w:tcBorders>
          </w:tcPr>
          <w:p>
            <w:pPr>
              <w:pStyle w:val="Normal"/>
              <w:rPr/>
            </w:pPr>
            <w:r>
              <w:rPr/>
              <w:t>Remove COS Limitation</w:t>
            </w:r>
          </w:p>
        </w:tc>
        <w:tc>
          <w:tcPr>
            <w:tcW w:w="4230" w:type="dxa"/>
            <w:tcBorders>
              <w:top w:val="double" w:sz="4" w:space="0" w:color="000000"/>
              <w:start w:val="single" w:sz="4" w:space="0" w:color="000000"/>
              <w:bottom w:val="single" w:sz="4" w:space="0" w:color="000000"/>
              <w:end w:val="single" w:sz="4" w:space="0" w:color="000000"/>
            </w:tcBorders>
          </w:tcPr>
          <w:p>
            <w:pPr>
              <w:pStyle w:val="Normal"/>
              <w:rPr/>
            </w:pPr>
            <w:r>
              <w:rPr/>
              <w:t>N/A</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July 18, 2000</w:t>
            </w:r>
          </w:p>
          <w:p>
            <w:pPr>
              <w:pStyle w:val="Normal"/>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rPr/>
            </w:pPr>
            <w:r>
              <w:rPr/>
              <w:t>Energy Bill</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S. 2886 (Gramm)</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Industry</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N/A</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July 26, 2000</w:t>
            </w:r>
          </w:p>
          <w:p>
            <w:pPr>
              <w:pStyle w:val="Normal"/>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rPr/>
            </w:pPr>
            <w:r>
              <w:rPr/>
              <w:t>Energy Tax Bill</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H.R. 4971 (Hayworth)</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Industry</w:t>
            </w:r>
          </w:p>
          <w:p>
            <w:pPr>
              <w:pStyle w:val="Normal"/>
              <w:rPr/>
            </w:pPr>
            <w:r>
              <w:rPr/>
              <w:t>EEI/APPA/LPPC</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$2.7B (Joint Committee)</w:t>
            </w:r>
          </w:p>
        </w:tc>
      </w:tr>
      <w:tr>
        <w:trPr/>
        <w:tc>
          <w:tcPr>
            <w:tcW w:w="2250" w:type="dxa"/>
            <w:tcBorders>
              <w:top w:val="single" w:sz="4" w:space="0" w:color="000000"/>
              <w:start w:val="single" w:sz="4" w:space="0" w:color="000000"/>
              <w:bottom w:val="double" w:sz="4" w:space="0" w:color="000000"/>
              <w:end w:val="single" w:sz="4" w:space="0" w:color="000000"/>
            </w:tcBorders>
          </w:tcPr>
          <w:p>
            <w:pPr>
              <w:pStyle w:val="Normal"/>
              <w:rPr/>
            </w:pPr>
            <w:r>
              <w:rPr/>
              <w:t>July 27, 2000</w:t>
            </w:r>
          </w:p>
          <w:p>
            <w:pPr>
              <w:pStyle w:val="Normal"/>
              <w:rPr/>
            </w:pPr>
            <w:r>
              <w:rPr/>
            </w:r>
          </w:p>
        </w:tc>
        <w:tc>
          <w:tcPr>
            <w:tcW w:w="2790" w:type="dxa"/>
            <w:tcBorders>
              <w:top w:val="single" w:sz="4" w:space="0" w:color="000000"/>
              <w:start w:val="single" w:sz="4" w:space="0" w:color="000000"/>
              <w:bottom w:val="double" w:sz="4" w:space="0" w:color="000000"/>
              <w:end w:val="single" w:sz="4" w:space="0" w:color="000000"/>
            </w:tcBorders>
          </w:tcPr>
          <w:p>
            <w:pPr>
              <w:pStyle w:val="Normal"/>
              <w:rPr/>
            </w:pPr>
            <w:r>
              <w:rPr/>
              <w:t>Energy Tax Bill</w:t>
            </w:r>
          </w:p>
        </w:tc>
        <w:tc>
          <w:tcPr>
            <w:tcW w:w="2880" w:type="dxa"/>
            <w:tcBorders>
              <w:top w:val="single" w:sz="4" w:space="0" w:color="000000"/>
              <w:start w:val="single" w:sz="4" w:space="0" w:color="000000"/>
              <w:bottom w:val="double" w:sz="4" w:space="0" w:color="000000"/>
              <w:end w:val="single" w:sz="4" w:space="0" w:color="000000"/>
            </w:tcBorders>
          </w:tcPr>
          <w:p>
            <w:pPr>
              <w:pStyle w:val="Normal"/>
              <w:rPr/>
            </w:pPr>
            <w:r>
              <w:rPr/>
              <w:t>S. 2967 (Murkowski)</w:t>
            </w:r>
          </w:p>
        </w:tc>
        <w:tc>
          <w:tcPr>
            <w:tcW w:w="2700" w:type="dxa"/>
            <w:tcBorders>
              <w:top w:val="single" w:sz="4" w:space="0" w:color="000000"/>
              <w:start w:val="single" w:sz="4" w:space="0" w:color="000000"/>
              <w:bottom w:val="double" w:sz="4" w:space="0" w:color="000000"/>
              <w:end w:val="single" w:sz="4" w:space="0" w:color="000000"/>
            </w:tcBorders>
          </w:tcPr>
          <w:p>
            <w:pPr>
              <w:pStyle w:val="Normal"/>
              <w:rPr/>
            </w:pPr>
            <w:r>
              <w:rPr/>
              <w:t>Industry</w:t>
            </w:r>
          </w:p>
          <w:p>
            <w:pPr>
              <w:pStyle w:val="Normal"/>
              <w:rPr/>
            </w:pPr>
            <w:r>
              <w:rPr/>
              <w:t>EEI/APPA/LPPC</w:t>
            </w:r>
          </w:p>
        </w:tc>
        <w:tc>
          <w:tcPr>
            <w:tcW w:w="4230" w:type="dxa"/>
            <w:tcBorders>
              <w:top w:val="single" w:sz="4" w:space="0" w:color="000000"/>
              <w:start w:val="single" w:sz="4" w:space="0" w:color="000000"/>
              <w:bottom w:val="double" w:sz="4" w:space="0" w:color="000000"/>
              <w:end w:val="single" w:sz="4" w:space="0" w:color="000000"/>
            </w:tcBorders>
          </w:tcPr>
          <w:p>
            <w:pPr>
              <w:pStyle w:val="Normal"/>
              <w:rPr/>
            </w:pPr>
            <w:r>
              <w:rPr/>
              <w:t>N/A</w:t>
            </w:r>
          </w:p>
        </w:tc>
      </w:tr>
      <w:tr>
        <w:trPr/>
        <w:tc>
          <w:tcPr>
            <w:tcW w:w="2250" w:type="dxa"/>
            <w:tcBorders>
              <w:top w:val="double" w:sz="4" w:space="0" w:color="000000"/>
              <w:start w:val="single" w:sz="4" w:space="0" w:color="000000"/>
              <w:bottom w:val="single" w:sz="4" w:space="0" w:color="000000"/>
              <w:end w:val="single" w:sz="4" w:space="0" w:color="000000"/>
            </w:tcBorders>
          </w:tcPr>
          <w:p>
            <w:pPr>
              <w:pStyle w:val="Normal"/>
              <w:rPr/>
            </w:pPr>
            <w:r>
              <w:rPr/>
              <w:t>February 26, 2001</w:t>
            </w:r>
          </w:p>
          <w:p>
            <w:pPr>
              <w:pStyle w:val="Normal"/>
              <w:rPr/>
            </w:pPr>
            <w:r>
              <w:rPr/>
            </w:r>
          </w:p>
        </w:tc>
        <w:tc>
          <w:tcPr>
            <w:tcW w:w="2790" w:type="dxa"/>
            <w:tcBorders>
              <w:top w:val="double" w:sz="4" w:space="0" w:color="000000"/>
              <w:start w:val="single" w:sz="4" w:space="0" w:color="000000"/>
              <w:bottom w:val="single" w:sz="4" w:space="0" w:color="000000"/>
              <w:end w:val="single" w:sz="4" w:space="0" w:color="000000"/>
            </w:tcBorders>
          </w:tcPr>
          <w:p>
            <w:pPr>
              <w:pStyle w:val="Normal"/>
              <w:rPr/>
            </w:pPr>
            <w:r>
              <w:rPr/>
              <w:t>Energy Bill</w:t>
            </w:r>
          </w:p>
        </w:tc>
        <w:tc>
          <w:tcPr>
            <w:tcW w:w="2880" w:type="dxa"/>
            <w:tcBorders>
              <w:top w:val="double" w:sz="4" w:space="0" w:color="000000"/>
              <w:start w:val="single" w:sz="4" w:space="0" w:color="000000"/>
              <w:bottom w:val="single" w:sz="4" w:space="0" w:color="000000"/>
              <w:end w:val="single" w:sz="4" w:space="0" w:color="000000"/>
            </w:tcBorders>
          </w:tcPr>
          <w:p>
            <w:pPr>
              <w:pStyle w:val="Normal"/>
              <w:rPr/>
            </w:pPr>
            <w:r>
              <w:rPr/>
              <w:t>S. 389 (Murkowksi)</w:t>
            </w:r>
          </w:p>
        </w:tc>
        <w:tc>
          <w:tcPr>
            <w:tcW w:w="2700" w:type="dxa"/>
            <w:tcBorders>
              <w:top w:val="double" w:sz="4" w:space="0" w:color="000000"/>
              <w:start w:val="single" w:sz="4" w:space="0" w:color="000000"/>
              <w:bottom w:val="single" w:sz="4" w:space="0" w:color="000000"/>
              <w:end w:val="single" w:sz="4" w:space="0" w:color="000000"/>
            </w:tcBorders>
          </w:tcPr>
          <w:p>
            <w:pPr>
              <w:pStyle w:val="Normal"/>
              <w:rPr/>
            </w:pPr>
            <w:r>
              <w:rPr/>
              <w:t>Industry</w:t>
            </w:r>
          </w:p>
          <w:p>
            <w:pPr>
              <w:pStyle w:val="Normal"/>
              <w:rPr/>
            </w:pPr>
            <w:r>
              <w:rPr/>
              <w:t>EEI/APPA/LPPC</w:t>
            </w:r>
          </w:p>
        </w:tc>
        <w:tc>
          <w:tcPr>
            <w:tcW w:w="4230" w:type="dxa"/>
            <w:tcBorders>
              <w:top w:val="double" w:sz="4" w:space="0" w:color="000000"/>
              <w:start w:val="single" w:sz="4" w:space="0" w:color="000000"/>
              <w:bottom w:val="single" w:sz="4" w:space="0" w:color="000000"/>
              <w:end w:val="single" w:sz="4" w:space="0" w:color="000000"/>
            </w:tcBorders>
          </w:tcPr>
          <w:p>
            <w:pPr>
              <w:pStyle w:val="Normal"/>
              <w:rPr/>
            </w:pPr>
            <w:r>
              <w:rPr/>
              <w:t>N/A</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April 4, 2001</w:t>
            </w:r>
          </w:p>
          <w:p>
            <w:pPr>
              <w:pStyle w:val="Normal"/>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rPr/>
            </w:pPr>
            <w:r>
              <w:rPr/>
              <w:t>Energy Tax Bill</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H.R. 1459 (Hayworth)</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Industry</w:t>
            </w:r>
          </w:p>
          <w:p>
            <w:pPr>
              <w:pStyle w:val="Normal"/>
              <w:rPr/>
            </w:pPr>
            <w:r>
              <w:rPr/>
              <w:t>EEI/APPA/LPPC</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N/A</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April 9, 2001</w:t>
            </w:r>
          </w:p>
          <w:p>
            <w:pPr>
              <w:pStyle w:val="Normal"/>
              <w:rPr/>
            </w:pPr>
            <w:r>
              <w:rPr/>
            </w:r>
          </w:p>
        </w:tc>
        <w:tc>
          <w:tcPr>
            <w:tcW w:w="2790" w:type="dxa"/>
            <w:tcBorders>
              <w:top w:val="single" w:sz="4" w:space="0" w:color="000000"/>
              <w:start w:val="single" w:sz="4" w:space="0" w:color="000000"/>
              <w:bottom w:val="single" w:sz="4" w:space="0" w:color="000000"/>
              <w:end w:val="single" w:sz="4" w:space="0" w:color="000000"/>
            </w:tcBorders>
          </w:tcPr>
          <w:p>
            <w:pPr>
              <w:pStyle w:val="Normal"/>
              <w:rPr/>
            </w:pPr>
            <w:r>
              <w:rPr/>
              <w:t>Budget Proposal</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Administration's FY 2002</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Modified Version of Joint Committee</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$1.5B (Treasury Department)</w:t>
            </w:r>
          </w:p>
        </w:tc>
      </w:tr>
    </w:tbl>
    <w:p>
      <w:pPr>
        <w:sectPr>
          <w:headerReference w:type="default" r:id="rId23"/>
          <w:headerReference w:type="first" r:id="rId24"/>
          <w:footerReference w:type="default" r:id="rId25"/>
          <w:footerReference w:type="first" r:id="rId26"/>
          <w:footnotePr>
            <w:numFmt w:val="decimal"/>
          </w:footnotePr>
          <w:type w:val="nextPage"/>
          <w:pgSz w:orient="landscape" w:w="15840" w:h="12240"/>
          <w:pgMar w:left="864" w:right="1008" w:gutter="0" w:header="720" w:top="776" w:footer="720" w:bottom="776"/>
          <w:pgNumType w:fmt="decimal"/>
          <w:formProt w:val="false"/>
          <w:titlePg/>
          <w:textDirection w:val="lrTb"/>
          <w:docGrid w:type="default" w:linePitch="360" w:charSpace="0"/>
        </w:sectPr>
        <w:pStyle w:val="Normal"/>
        <w:rPr/>
      </w:pPr>
      <w:r>
        <w:rPr/>
      </w:r>
    </w:p>
    <w:p>
      <w:pPr>
        <w:pStyle w:val="Normal"/>
        <w:rPr>
          <w:b/>
          <w:smallCaps/>
        </w:rPr>
      </w:pPr>
      <w:r>
        <w:rPr>
          <w:b/>
          <w:smallCaps/>
        </w:rPr>
        <w:t>Comparison of Nuclear Decommissioning Legislative Proposals</w:t>
      </w:r>
    </w:p>
    <w:p>
      <w:pPr>
        <w:pStyle w:val="Normal"/>
        <w:rPr>
          <w:b/>
          <w:smallCaps/>
        </w:rPr>
      </w:pPr>
      <w:r>
        <w:rPr>
          <w:b/>
          <w:smallCaps/>
        </w:rPr>
      </w:r>
    </w:p>
    <w:p>
      <w:pPr>
        <w:pStyle w:val="Normal"/>
        <w:rPr>
          <w:b/>
          <w:smallCaps/>
          <w:u w:val="single"/>
        </w:rPr>
      </w:pPr>
      <w:r>
        <w:rPr>
          <w:b/>
          <w:smallCaps/>
          <w:u w:val="single"/>
        </w:rPr>
        <w:t>Item Six</w:t>
      </w:r>
    </w:p>
    <w:p>
      <w:pPr>
        <w:pStyle w:val="Normal"/>
        <w:rPr>
          <w:b/>
          <w:smallCaps/>
          <w:u w:val="single"/>
        </w:rPr>
      </w:pPr>
      <w:r>
        <w:rPr>
          <w:b/>
          <w:smallCaps/>
          <w:u w:val="single"/>
        </w:rPr>
      </w:r>
    </w:p>
    <w:tbl>
      <w:tblPr>
        <w:tblW w:w="9576" w:type="dxa"/>
        <w:jc w:val="start"/>
        <w:tblInd w:w="0" w:type="dxa"/>
        <w:tblLayout w:type="fixed"/>
        <w:tblCellMar>
          <w:top w:w="0" w:type="dxa"/>
          <w:start w:w="108" w:type="dxa"/>
          <w:bottom w:w="0" w:type="dxa"/>
          <w:end w:w="108" w:type="dxa"/>
        </w:tblCellMar>
      </w:tblPr>
      <w:tblGrid>
        <w:gridCol w:w="2718"/>
        <w:gridCol w:w="2430"/>
        <w:gridCol w:w="2160"/>
        <w:gridCol w:w="2268"/>
      </w:tblGrid>
      <w:tr>
        <w:trPr>
          <w:trHeight w:val="972" w:hRule="atLeast"/>
        </w:trPr>
        <w:tc>
          <w:tcPr>
            <w:tcW w:w="2718" w:type="dxa"/>
            <w:tcBorders>
              <w:top w:val="double" w:sz="18" w:space="0" w:color="000000"/>
              <w:start w:val="double" w:sz="18" w:space="0" w:color="000000"/>
              <w:bottom w:val="double" w:sz="12" w:space="0" w:color="000000"/>
              <w:end w:val="double" w:sz="12" w:space="0" w:color="000000"/>
            </w:tcBorders>
          </w:tcPr>
          <w:p>
            <w:pPr>
              <w:pStyle w:val="Normal"/>
              <w:jc w:val="center"/>
              <w:rPr>
                <w:b/>
              </w:rPr>
            </w:pPr>
            <w:r>
              <w:rPr>
                <w:b/>
              </w:rPr>
              <w:t>Proposed Amendments</w:t>
            </w:r>
          </w:p>
        </w:tc>
        <w:tc>
          <w:tcPr>
            <w:tcW w:w="2430" w:type="dxa"/>
            <w:tcBorders>
              <w:top w:val="double" w:sz="18" w:space="0" w:color="000000"/>
              <w:bottom w:val="double" w:sz="12" w:space="0" w:color="000000"/>
              <w:end w:val="double" w:sz="12" w:space="0" w:color="000000"/>
            </w:tcBorders>
          </w:tcPr>
          <w:p>
            <w:pPr>
              <w:pStyle w:val="Normal"/>
              <w:snapToGrid w:val="false"/>
              <w:jc w:val="center"/>
              <w:rPr>
                <w:b/>
              </w:rPr>
            </w:pPr>
            <w:r>
              <w:rPr>
                <w:b/>
              </w:rPr>
            </w:r>
          </w:p>
          <w:p>
            <w:pPr>
              <w:pStyle w:val="Normal"/>
              <w:jc w:val="center"/>
              <w:rPr>
                <w:b/>
              </w:rPr>
            </w:pPr>
            <w:r>
              <w:rPr>
                <w:b/>
              </w:rPr>
              <w:t>Industry Proposal</w:t>
            </w:r>
          </w:p>
        </w:tc>
        <w:tc>
          <w:tcPr>
            <w:tcW w:w="2160" w:type="dxa"/>
            <w:tcBorders>
              <w:top w:val="double" w:sz="18" w:space="0" w:color="000000"/>
              <w:bottom w:val="double" w:sz="12" w:space="0" w:color="000000"/>
              <w:end w:val="double" w:sz="12" w:space="0" w:color="000000"/>
            </w:tcBorders>
          </w:tcPr>
          <w:p>
            <w:pPr>
              <w:pStyle w:val="Normal"/>
              <w:snapToGrid w:val="false"/>
              <w:jc w:val="center"/>
              <w:rPr>
                <w:b/>
              </w:rPr>
            </w:pPr>
            <w:r>
              <w:rPr>
                <w:b/>
              </w:rPr>
            </w:r>
          </w:p>
          <w:p>
            <w:pPr>
              <w:pStyle w:val="Normal"/>
              <w:jc w:val="center"/>
              <w:rPr>
                <w:b/>
              </w:rPr>
            </w:pPr>
            <w:r>
              <w:rPr>
                <w:b/>
              </w:rPr>
              <w:t>Tax Relief Bill</w:t>
            </w:r>
          </w:p>
        </w:tc>
        <w:tc>
          <w:tcPr>
            <w:tcW w:w="2268" w:type="dxa"/>
            <w:tcBorders>
              <w:top w:val="double" w:sz="18" w:space="0" w:color="000000"/>
              <w:bottom w:val="double" w:sz="12" w:space="0" w:color="000000"/>
              <w:end w:val="double" w:sz="18" w:space="0" w:color="000000"/>
            </w:tcBorders>
          </w:tcPr>
          <w:p>
            <w:pPr>
              <w:pStyle w:val="Normal"/>
              <w:jc w:val="center"/>
              <w:rPr>
                <w:b/>
              </w:rPr>
            </w:pPr>
            <w:r>
              <w:rPr>
                <w:b/>
              </w:rPr>
              <w:t>President Bush's Budget Proposal</w:t>
            </w:r>
          </w:p>
        </w:tc>
      </w:tr>
      <w:tr>
        <w:trPr>
          <w:trHeight w:val="1071" w:hRule="atLeast"/>
        </w:trPr>
        <w:tc>
          <w:tcPr>
            <w:tcW w:w="2718" w:type="dxa"/>
            <w:tcBorders>
              <w:top w:val="double" w:sz="12" w:space="0" w:color="000000"/>
              <w:start w:val="double" w:sz="18" w:space="0" w:color="000000"/>
              <w:bottom w:val="single" w:sz="4" w:space="0" w:color="000000"/>
              <w:end w:val="single" w:sz="4" w:space="0" w:color="000000"/>
            </w:tcBorders>
          </w:tcPr>
          <w:p>
            <w:pPr>
              <w:pStyle w:val="Normal"/>
              <w:rPr/>
            </w:pPr>
            <w:r>
              <w:rPr/>
              <w:t>Eliminate cost of service limitations on annual contributions</w:t>
            </w:r>
          </w:p>
        </w:tc>
        <w:tc>
          <w:tcPr>
            <w:tcW w:w="2430" w:type="dxa"/>
            <w:tcBorders>
              <w:top w:val="double" w:sz="12" w:space="0" w:color="000000"/>
              <w:bottom w:val="single" w:sz="4" w:space="0" w:color="000000"/>
              <w:end w:val="single" w:sz="4" w:space="0" w:color="000000"/>
            </w:tcBorders>
          </w:tcPr>
          <w:p>
            <w:pPr>
              <w:pStyle w:val="Normal"/>
              <w:snapToGrid w:val="false"/>
              <w:jc w:val="center"/>
              <w:rPr/>
            </w:pPr>
            <w:r>
              <w:rPr/>
            </w:r>
          </w:p>
          <w:p>
            <w:pPr>
              <w:pStyle w:val="Normal"/>
              <w:jc w:val="center"/>
              <w:rPr/>
            </w:pPr>
            <w:r>
              <w:rPr/>
              <w:t>X</w:t>
            </w:r>
          </w:p>
        </w:tc>
        <w:tc>
          <w:tcPr>
            <w:tcW w:w="2160" w:type="dxa"/>
            <w:tcBorders>
              <w:top w:val="double" w:sz="12" w:space="0" w:color="000000"/>
              <w:bottom w:val="single" w:sz="4" w:space="0" w:color="000000"/>
              <w:end w:val="single" w:sz="4" w:space="0" w:color="000000"/>
            </w:tcBorders>
          </w:tcPr>
          <w:p>
            <w:pPr>
              <w:pStyle w:val="Normal"/>
              <w:snapToGrid w:val="false"/>
              <w:rPr/>
            </w:pPr>
            <w:r>
              <w:rPr/>
            </w:r>
          </w:p>
          <w:p>
            <w:pPr>
              <w:pStyle w:val="Normal"/>
              <w:jc w:val="center"/>
              <w:rPr/>
            </w:pPr>
            <w:r>
              <w:rPr/>
              <w:t>X</w:t>
            </w:r>
          </w:p>
        </w:tc>
        <w:tc>
          <w:tcPr>
            <w:tcW w:w="2268" w:type="dxa"/>
            <w:tcBorders>
              <w:top w:val="double" w:sz="12" w:space="0" w:color="000000"/>
              <w:bottom w:val="single" w:sz="4" w:space="0" w:color="000000"/>
              <w:end w:val="double" w:sz="18" w:space="0" w:color="000000"/>
            </w:tcBorders>
          </w:tcPr>
          <w:p>
            <w:pPr>
              <w:pStyle w:val="Normal"/>
              <w:snapToGrid w:val="false"/>
              <w:rPr/>
            </w:pPr>
            <w:r>
              <w:rPr/>
            </w:r>
          </w:p>
          <w:p>
            <w:pPr>
              <w:pStyle w:val="Normal"/>
              <w:jc w:val="center"/>
              <w:rPr/>
            </w:pPr>
            <w:r>
              <w:rPr/>
              <w:t>X</w:t>
            </w:r>
          </w:p>
        </w:tc>
      </w:tr>
      <w:tr>
        <w:trPr>
          <w:trHeight w:val="1079" w:hRule="atLeast"/>
        </w:trPr>
        <w:tc>
          <w:tcPr>
            <w:tcW w:w="2718" w:type="dxa"/>
            <w:tcBorders>
              <w:top w:val="single" w:sz="4" w:space="0" w:color="000000"/>
              <w:start w:val="double" w:sz="18" w:space="0" w:color="000000"/>
              <w:bottom w:val="single" w:sz="4" w:space="0" w:color="000000"/>
              <w:end w:val="single" w:sz="4" w:space="0" w:color="000000"/>
            </w:tcBorders>
          </w:tcPr>
          <w:p>
            <w:pPr>
              <w:pStyle w:val="Normal"/>
              <w:rPr/>
            </w:pPr>
            <w:r>
              <w:rPr/>
              <w:t>Allow former owners to contribute amounts to Qualified Fund</w:t>
            </w:r>
          </w:p>
        </w:tc>
        <w:tc>
          <w:tcPr>
            <w:tcW w:w="2430" w:type="dxa"/>
            <w:tcBorders>
              <w:top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X</w:t>
            </w:r>
          </w:p>
        </w:tc>
        <w:tc>
          <w:tcPr>
            <w:tcW w:w="2160" w:type="dxa"/>
            <w:tcBorders>
              <w:top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__</w:t>
            </w:r>
          </w:p>
        </w:tc>
        <w:tc>
          <w:tcPr>
            <w:tcW w:w="2268" w:type="dxa"/>
            <w:tcBorders>
              <w:top w:val="single" w:sz="4" w:space="0" w:color="000000"/>
              <w:bottom w:val="single" w:sz="4" w:space="0" w:color="000000"/>
              <w:end w:val="double" w:sz="18" w:space="0" w:color="000000"/>
            </w:tcBorders>
          </w:tcPr>
          <w:p>
            <w:pPr>
              <w:pStyle w:val="Normal"/>
              <w:snapToGrid w:val="false"/>
              <w:jc w:val="center"/>
              <w:rPr/>
            </w:pPr>
            <w:r>
              <w:rPr/>
            </w:r>
          </w:p>
          <w:p>
            <w:pPr>
              <w:pStyle w:val="Normal"/>
              <w:jc w:val="center"/>
              <w:rPr/>
            </w:pPr>
            <w:r>
              <w:rPr/>
              <w:t>__</w:t>
            </w:r>
          </w:p>
        </w:tc>
      </w:tr>
      <w:tr>
        <w:trPr>
          <w:trHeight w:val="1610" w:hRule="atLeast"/>
        </w:trPr>
        <w:tc>
          <w:tcPr>
            <w:tcW w:w="2718" w:type="dxa"/>
            <w:tcBorders>
              <w:top w:val="single" w:sz="4" w:space="0" w:color="000000"/>
              <w:start w:val="double" w:sz="18" w:space="0" w:color="000000"/>
              <w:bottom w:val="single" w:sz="4" w:space="0" w:color="000000"/>
              <w:end w:val="single" w:sz="4" w:space="0" w:color="000000"/>
            </w:tcBorders>
          </w:tcPr>
          <w:p>
            <w:pPr>
              <w:pStyle w:val="Normal"/>
              <w:rPr/>
            </w:pPr>
            <w:r>
              <w:rPr/>
              <w:t>Eliminate qualifying percentage so that pre-1984 costs can be contributed to Qualified Fund</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r>
          </w:p>
          <w:p>
            <w:pPr>
              <w:pStyle w:val="Normal"/>
              <w:jc w:val="center"/>
              <w:rPr/>
            </w:pPr>
            <w:r>
              <w:rPr/>
              <w:t>X</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r>
          </w:p>
          <w:p>
            <w:pPr>
              <w:pStyle w:val="Normal"/>
              <w:jc w:val="center"/>
              <w:rPr/>
            </w:pPr>
            <w:r>
              <w:rPr/>
              <w:t>__</w:t>
            </w:r>
          </w:p>
        </w:tc>
        <w:tc>
          <w:tcPr>
            <w:tcW w:w="2268" w:type="dxa"/>
            <w:tcBorders>
              <w:top w:val="single" w:sz="4" w:space="0" w:color="000000"/>
              <w:start w:val="single" w:sz="4" w:space="0" w:color="000000"/>
              <w:bottom w:val="single" w:sz="4" w:space="0" w:color="000000"/>
              <w:end w:val="double" w:sz="18" w:space="0" w:color="000000"/>
            </w:tcBorders>
          </w:tcPr>
          <w:p>
            <w:pPr>
              <w:pStyle w:val="Normal"/>
              <w:snapToGrid w:val="false"/>
              <w:jc w:val="center"/>
              <w:rPr/>
            </w:pPr>
            <w:r>
              <w:rPr/>
            </w:r>
          </w:p>
          <w:p>
            <w:pPr>
              <w:pStyle w:val="Normal"/>
              <w:jc w:val="center"/>
              <w:rPr/>
            </w:pPr>
            <w:r>
              <w:rPr/>
            </w:r>
          </w:p>
          <w:p>
            <w:pPr>
              <w:pStyle w:val="Normal"/>
              <w:jc w:val="center"/>
              <w:rPr/>
            </w:pPr>
            <w:r>
              <w:rPr/>
              <w:t>Indirectly</w:t>
            </w:r>
          </w:p>
        </w:tc>
      </w:tr>
      <w:tr>
        <w:trPr>
          <w:trHeight w:val="980" w:hRule="atLeast"/>
        </w:trPr>
        <w:tc>
          <w:tcPr>
            <w:tcW w:w="2718" w:type="dxa"/>
            <w:tcBorders>
              <w:top w:val="single" w:sz="4" w:space="0" w:color="000000"/>
              <w:start w:val="double" w:sz="18" w:space="0" w:color="000000"/>
              <w:bottom w:val="single" w:sz="4" w:space="0" w:color="000000"/>
              <w:end w:val="single" w:sz="4" w:space="0" w:color="000000"/>
            </w:tcBorders>
          </w:tcPr>
          <w:p>
            <w:pPr>
              <w:pStyle w:val="Normal"/>
              <w:rPr/>
            </w:pPr>
            <w:r>
              <w:rPr/>
              <w:t>Permit pour-over of nonqualified funds over remaining life of plant</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X</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X</w:t>
            </w:r>
          </w:p>
        </w:tc>
        <w:tc>
          <w:tcPr>
            <w:tcW w:w="2268" w:type="dxa"/>
            <w:tcBorders>
              <w:top w:val="single" w:sz="4" w:space="0" w:color="000000"/>
              <w:start w:val="single" w:sz="4" w:space="0" w:color="000000"/>
              <w:bottom w:val="single" w:sz="4" w:space="0" w:color="000000"/>
              <w:end w:val="double" w:sz="18" w:space="0" w:color="000000"/>
            </w:tcBorders>
          </w:tcPr>
          <w:p>
            <w:pPr>
              <w:pStyle w:val="Normal"/>
              <w:snapToGrid w:val="false"/>
              <w:jc w:val="center"/>
              <w:rPr/>
            </w:pPr>
            <w:r>
              <w:rPr/>
            </w:r>
          </w:p>
          <w:p>
            <w:pPr>
              <w:pStyle w:val="Normal"/>
              <w:jc w:val="center"/>
              <w:rPr/>
            </w:pPr>
            <w:r>
              <w:rPr/>
              <w:t>X</w:t>
            </w:r>
          </w:p>
        </w:tc>
      </w:tr>
      <w:tr>
        <w:trPr>
          <w:trHeight w:val="1520" w:hRule="atLeast"/>
        </w:trPr>
        <w:tc>
          <w:tcPr>
            <w:tcW w:w="2718" w:type="dxa"/>
            <w:tcBorders>
              <w:top w:val="single" w:sz="4" w:space="0" w:color="000000"/>
              <w:start w:val="double" w:sz="18" w:space="0" w:color="000000"/>
              <w:bottom w:val="single" w:sz="4" w:space="0" w:color="000000"/>
              <w:end w:val="single" w:sz="4" w:space="0" w:color="000000"/>
            </w:tcBorders>
          </w:tcPr>
          <w:p>
            <w:pPr>
              <w:pStyle w:val="Normal"/>
              <w:rPr/>
            </w:pPr>
            <w:r>
              <w:rPr/>
              <w:t>Eliminate level funding requirement</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Limited to two circumstances:  (a) regulatory order and (b) transfer of plant to third party</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r>
          </w:p>
          <w:p>
            <w:pPr>
              <w:pStyle w:val="Normal"/>
              <w:jc w:val="center"/>
              <w:rPr/>
            </w:pPr>
            <w:r>
              <w:rPr/>
              <w:t>__</w:t>
            </w:r>
          </w:p>
        </w:tc>
        <w:tc>
          <w:tcPr>
            <w:tcW w:w="2268" w:type="dxa"/>
            <w:tcBorders>
              <w:top w:val="single" w:sz="4" w:space="0" w:color="000000"/>
              <w:start w:val="single" w:sz="4" w:space="0" w:color="000000"/>
              <w:bottom w:val="single" w:sz="4" w:space="0" w:color="000000"/>
              <w:end w:val="double" w:sz="18" w:space="0" w:color="000000"/>
            </w:tcBorders>
          </w:tcPr>
          <w:p>
            <w:pPr>
              <w:pStyle w:val="Normal"/>
              <w:snapToGrid w:val="false"/>
              <w:jc w:val="center"/>
              <w:rPr/>
            </w:pPr>
            <w:r>
              <w:rPr/>
            </w:r>
          </w:p>
          <w:p>
            <w:pPr>
              <w:pStyle w:val="Normal"/>
              <w:jc w:val="center"/>
              <w:rPr/>
            </w:pPr>
            <w:r>
              <w:rPr/>
            </w:r>
          </w:p>
          <w:p>
            <w:pPr>
              <w:pStyle w:val="Normal"/>
              <w:jc w:val="center"/>
              <w:rPr/>
            </w:pPr>
            <w:r>
              <w:rPr/>
              <w:t>__</w:t>
            </w:r>
          </w:p>
        </w:tc>
      </w:tr>
      <w:tr>
        <w:trPr>
          <w:trHeight w:val="1340" w:hRule="atLeast"/>
        </w:trPr>
        <w:tc>
          <w:tcPr>
            <w:tcW w:w="2718" w:type="dxa"/>
            <w:tcBorders>
              <w:top w:val="single" w:sz="4" w:space="0" w:color="000000"/>
              <w:start w:val="double" w:sz="18" w:space="0" w:color="000000"/>
              <w:bottom w:val="single" w:sz="4" w:space="0" w:color="000000"/>
              <w:end w:val="single" w:sz="4" w:space="0" w:color="000000"/>
            </w:tcBorders>
          </w:tcPr>
          <w:p>
            <w:pPr>
              <w:pStyle w:val="Normal"/>
              <w:rPr/>
            </w:pPr>
            <w:r>
              <w:rPr/>
              <w:t>Define decommissioning costs and confirm all such costs are deductible when paid or incurred</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jc w:val="center"/>
              <w:rPr/>
            </w:pPr>
            <w:r>
              <w:rPr/>
              <w:t>X</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r>
          </w:p>
          <w:p>
            <w:pPr>
              <w:pStyle w:val="Normal"/>
              <w:jc w:val="center"/>
              <w:rPr/>
            </w:pPr>
            <w:r>
              <w:rPr/>
              <w:t>__</w:t>
            </w:r>
          </w:p>
        </w:tc>
        <w:tc>
          <w:tcPr>
            <w:tcW w:w="2268" w:type="dxa"/>
            <w:tcBorders>
              <w:top w:val="single" w:sz="4" w:space="0" w:color="000000"/>
              <w:start w:val="single" w:sz="4" w:space="0" w:color="000000"/>
              <w:bottom w:val="single" w:sz="4" w:space="0" w:color="000000"/>
              <w:end w:val="double" w:sz="18" w:space="0" w:color="000000"/>
            </w:tcBorders>
          </w:tcPr>
          <w:p>
            <w:pPr>
              <w:pStyle w:val="Normal"/>
              <w:rPr/>
            </w:pPr>
            <w:r>
              <w:rPr/>
              <w:t>Provides that decommissioning costs are deductible when paid</w:t>
            </w:r>
          </w:p>
        </w:tc>
      </w:tr>
      <w:tr>
        <w:trPr>
          <w:trHeight w:val="800" w:hRule="atLeast"/>
        </w:trPr>
        <w:tc>
          <w:tcPr>
            <w:tcW w:w="2718" w:type="dxa"/>
            <w:tcBorders>
              <w:top w:val="single" w:sz="4" w:space="0" w:color="000000"/>
              <w:start w:val="double" w:sz="18" w:space="0" w:color="000000"/>
              <w:bottom w:val="single" w:sz="4" w:space="0" w:color="000000"/>
              <w:end w:val="single" w:sz="4" w:space="0" w:color="000000"/>
            </w:tcBorders>
          </w:tcPr>
          <w:p>
            <w:pPr>
              <w:pStyle w:val="Normal"/>
              <w:rPr/>
            </w:pPr>
            <w:r>
              <w:rPr/>
              <w:t>Eliminate ruling requirement</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X</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__</w:t>
            </w:r>
          </w:p>
        </w:tc>
        <w:tc>
          <w:tcPr>
            <w:tcW w:w="2268" w:type="dxa"/>
            <w:tcBorders>
              <w:top w:val="single" w:sz="4" w:space="0" w:color="000000"/>
              <w:start w:val="single" w:sz="4" w:space="0" w:color="000000"/>
              <w:bottom w:val="single" w:sz="4" w:space="0" w:color="000000"/>
              <w:end w:val="double" w:sz="18" w:space="0" w:color="000000"/>
            </w:tcBorders>
          </w:tcPr>
          <w:p>
            <w:pPr>
              <w:pStyle w:val="Normal"/>
              <w:snapToGrid w:val="false"/>
              <w:jc w:val="center"/>
              <w:rPr/>
            </w:pPr>
            <w:r>
              <w:rPr/>
            </w:r>
          </w:p>
          <w:p>
            <w:pPr>
              <w:pStyle w:val="Normal"/>
              <w:jc w:val="center"/>
              <w:rPr/>
            </w:pPr>
            <w:r>
              <w:rPr/>
              <w:t>__</w:t>
            </w:r>
          </w:p>
        </w:tc>
      </w:tr>
      <w:tr>
        <w:trPr>
          <w:trHeight w:val="890" w:hRule="atLeast"/>
        </w:trPr>
        <w:tc>
          <w:tcPr>
            <w:tcW w:w="2718" w:type="dxa"/>
            <w:tcBorders>
              <w:top w:val="single" w:sz="4" w:space="0" w:color="000000"/>
              <w:start w:val="double" w:sz="18" w:space="0" w:color="000000"/>
              <w:bottom w:val="single" w:sz="4" w:space="0" w:color="000000"/>
              <w:end w:val="single" w:sz="4" w:space="0" w:color="000000"/>
            </w:tcBorders>
          </w:tcPr>
          <w:p>
            <w:pPr>
              <w:pStyle w:val="Normal"/>
              <w:rPr/>
            </w:pPr>
            <w:r>
              <w:rPr/>
              <w:t>Allow tax free transfer of Qualified Fund</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X</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Clarify/Elective</w:t>
            </w:r>
          </w:p>
        </w:tc>
        <w:tc>
          <w:tcPr>
            <w:tcW w:w="2268" w:type="dxa"/>
            <w:tcBorders>
              <w:top w:val="single" w:sz="4" w:space="0" w:color="000000"/>
              <w:start w:val="single" w:sz="4" w:space="0" w:color="000000"/>
              <w:bottom w:val="single" w:sz="4" w:space="0" w:color="000000"/>
              <w:end w:val="double" w:sz="18" w:space="0" w:color="000000"/>
            </w:tcBorders>
          </w:tcPr>
          <w:p>
            <w:pPr>
              <w:pStyle w:val="Normal"/>
              <w:snapToGrid w:val="false"/>
              <w:jc w:val="center"/>
              <w:rPr/>
            </w:pPr>
            <w:r>
              <w:rPr/>
            </w:r>
          </w:p>
          <w:p>
            <w:pPr>
              <w:pStyle w:val="Normal"/>
              <w:jc w:val="center"/>
              <w:rPr/>
            </w:pPr>
            <w:r>
              <w:rPr/>
              <w:t>Clarify</w:t>
            </w:r>
          </w:p>
        </w:tc>
      </w:tr>
      <w:tr>
        <w:trPr>
          <w:trHeight w:val="1070" w:hRule="atLeast"/>
        </w:trPr>
        <w:tc>
          <w:tcPr>
            <w:tcW w:w="2718" w:type="dxa"/>
            <w:tcBorders>
              <w:top w:val="single" w:sz="4" w:space="0" w:color="000000"/>
              <w:start w:val="double" w:sz="18" w:space="0" w:color="000000"/>
              <w:bottom w:val="double" w:sz="18" w:space="0" w:color="000000"/>
              <w:end w:val="single" w:sz="4" w:space="0" w:color="000000"/>
            </w:tcBorders>
          </w:tcPr>
          <w:p>
            <w:pPr>
              <w:pStyle w:val="Normal"/>
              <w:rPr/>
            </w:pPr>
            <w:r>
              <w:rPr/>
              <w:t>Permit contributions to Qualified Fund after the end of plant's useful life</w:t>
            </w:r>
          </w:p>
        </w:tc>
        <w:tc>
          <w:tcPr>
            <w:tcW w:w="2430" w:type="dxa"/>
            <w:tcBorders>
              <w:top w:val="single" w:sz="4" w:space="0" w:color="000000"/>
              <w:start w:val="single" w:sz="4" w:space="0" w:color="000000"/>
              <w:bottom w:val="double" w:sz="18" w:space="0" w:color="000000"/>
              <w:end w:val="single" w:sz="4" w:space="0" w:color="000000"/>
            </w:tcBorders>
          </w:tcPr>
          <w:p>
            <w:pPr>
              <w:pStyle w:val="Normal"/>
              <w:snapToGrid w:val="false"/>
              <w:jc w:val="center"/>
              <w:rPr/>
            </w:pPr>
            <w:r>
              <w:rPr/>
            </w:r>
          </w:p>
          <w:p>
            <w:pPr>
              <w:pStyle w:val="Normal"/>
              <w:jc w:val="center"/>
              <w:rPr/>
            </w:pPr>
            <w:r>
              <w:rPr/>
              <w:t>X</w:t>
            </w:r>
          </w:p>
        </w:tc>
        <w:tc>
          <w:tcPr>
            <w:tcW w:w="2160" w:type="dxa"/>
            <w:tcBorders>
              <w:top w:val="single" w:sz="4" w:space="0" w:color="000000"/>
              <w:start w:val="single" w:sz="4" w:space="0" w:color="000000"/>
              <w:bottom w:val="double" w:sz="18" w:space="0" w:color="000000"/>
              <w:end w:val="single" w:sz="4" w:space="0" w:color="000000"/>
            </w:tcBorders>
          </w:tcPr>
          <w:p>
            <w:pPr>
              <w:pStyle w:val="Normal"/>
              <w:snapToGrid w:val="false"/>
              <w:jc w:val="center"/>
              <w:rPr/>
            </w:pPr>
            <w:r>
              <w:rPr/>
            </w:r>
          </w:p>
          <w:p>
            <w:pPr>
              <w:pStyle w:val="Normal"/>
              <w:jc w:val="center"/>
              <w:rPr/>
            </w:pPr>
            <w:r>
              <w:rPr/>
              <w:t>__</w:t>
            </w:r>
          </w:p>
        </w:tc>
        <w:tc>
          <w:tcPr>
            <w:tcW w:w="2268" w:type="dxa"/>
            <w:tcBorders>
              <w:top w:val="single" w:sz="4" w:space="0" w:color="000000"/>
              <w:start w:val="single" w:sz="4" w:space="0" w:color="000000"/>
              <w:bottom w:val="double" w:sz="18" w:space="0" w:color="000000"/>
              <w:end w:val="double" w:sz="18" w:space="0" w:color="000000"/>
            </w:tcBorders>
          </w:tcPr>
          <w:p>
            <w:pPr>
              <w:pStyle w:val="Normal"/>
              <w:snapToGrid w:val="false"/>
              <w:jc w:val="center"/>
              <w:rPr/>
            </w:pPr>
            <w:r>
              <w:rPr/>
            </w:r>
          </w:p>
          <w:p>
            <w:pPr>
              <w:pStyle w:val="Normal"/>
              <w:jc w:val="center"/>
              <w:rPr/>
            </w:pPr>
            <w:r>
              <w:rPr/>
              <w:t>X</w:t>
            </w:r>
          </w:p>
        </w:tc>
      </w:tr>
    </w:tbl>
    <w:p>
      <w:pPr>
        <w:sectPr>
          <w:headerReference w:type="default" r:id="rId27"/>
          <w:headerReference w:type="first" r:id="rId28"/>
          <w:footerReference w:type="default" r:id="rId29"/>
          <w:footerReference w:type="first" r:id="rId30"/>
          <w:footnotePr>
            <w:numFmt w:val="decimal"/>
          </w:footnotePr>
          <w:type w:val="nextPage"/>
          <w:pgSz w:w="12240" w:h="15840"/>
          <w:pgMar w:left="1728" w:right="1728" w:gutter="0" w:header="720" w:top="1440" w:footer="720" w:bottom="1440"/>
          <w:pgNumType w:start="1" w:fmt="decimal"/>
          <w:formProt w:val="false"/>
          <w:titlePg/>
          <w:textDirection w:val="lrTb"/>
          <w:docGrid w:type="default" w:linePitch="360" w:charSpace="0"/>
        </w:sectPr>
      </w:pPr>
    </w:p>
    <w:p>
      <w:pPr>
        <w:pStyle w:val="Normal"/>
        <w:rPr/>
      </w:pPr>
      <w:r>
        <w:rPr>
          <w:b/>
          <w:smallCaps/>
        </w:rPr>
        <w:t>Summary of 355(</w:t>
      </w:r>
      <w:r>
        <w:rPr/>
        <w:t>e</w:t>
      </w:r>
      <w:r>
        <w:rPr>
          <w:b/>
          <w:smallCaps/>
        </w:rPr>
        <w:t>) (New) Proposed Regulations</w:t>
      </w:r>
    </w:p>
    <w:p>
      <w:pPr>
        <w:pStyle w:val="Normal"/>
        <w:rPr>
          <w:b/>
          <w:smallCaps/>
        </w:rPr>
      </w:pPr>
      <w:r>
        <w:rPr>
          <w:b/>
          <w:smallCaps/>
        </w:rPr>
      </w:r>
    </w:p>
    <w:p>
      <w:pPr>
        <w:pStyle w:val="Normal"/>
        <w:rPr>
          <w:b/>
          <w:smallCaps/>
          <w:u w:val="single"/>
        </w:rPr>
      </w:pPr>
      <w:r>
        <w:rPr>
          <w:b/>
          <w:smallCaps/>
          <w:u w:val="single"/>
        </w:rPr>
        <w:t>Item Seven</w:t>
      </w:r>
    </w:p>
    <w:p>
      <w:pPr>
        <w:pStyle w:val="Normal"/>
        <w:rPr>
          <w:b/>
          <w:smallCaps/>
          <w:u w:val="single"/>
        </w:rPr>
      </w:pPr>
      <w:r>
        <w:rPr>
          <w:b/>
          <w:smallCaps/>
          <w:u w:val="single"/>
        </w:rPr>
      </w:r>
    </w:p>
    <w:p>
      <w:pPr>
        <w:pStyle w:val="Normal"/>
        <w:rPr/>
      </w:pPr>
      <w:r>
        <w:rPr/>
      </w:r>
    </w:p>
    <w:p>
      <w:pPr>
        <w:pStyle w:val="Normal"/>
        <w:rPr/>
      </w:pPr>
      <w:r>
        <w:rPr/>
        <w:t>I.</w:t>
        <w:tab/>
      </w:r>
      <w:r>
        <w:rPr>
          <w:u w:val="single"/>
        </w:rPr>
        <w:t>Code Section 355(e)</w:t>
      </w:r>
    </w:p>
    <w:p>
      <w:pPr>
        <w:pStyle w:val="Normal"/>
        <w:rPr/>
      </w:pPr>
      <w:r>
        <w:rPr/>
      </w:r>
    </w:p>
    <w:p>
      <w:pPr>
        <w:pStyle w:val="Normal"/>
        <w:rPr/>
      </w:pPr>
      <w:r>
        <w:rPr/>
        <w:tab/>
        <w:t>A.</w:t>
        <w:tab/>
      </w:r>
      <w:r>
        <w:rPr>
          <w:u w:val="single"/>
        </w:rPr>
        <w:t>General Nonrecognition Rule - Code Sections 355(a), (c)</w:t>
      </w:r>
    </w:p>
    <w:p>
      <w:pPr>
        <w:pStyle w:val="Normal"/>
        <w:rPr/>
      </w:pPr>
      <w:r>
        <w:rPr/>
      </w:r>
    </w:p>
    <w:p>
      <w:pPr>
        <w:pStyle w:val="Normal"/>
        <w:rPr/>
      </w:pPr>
      <w:r>
        <w:rPr/>
        <w:tab/>
      </w:r>
      <w:r>
        <w:rPr>
          <w:rFonts w:eastAsia="Symbol" w:cs="Symbol" w:ascii="Symbol" w:hAnsi="Symbol"/>
        </w:rPr>
        <w:sym w:font="Symbol" w:char="f0b7"/>
      </w:r>
      <w:r>
        <w:rPr/>
        <w:tab/>
      </w:r>
      <w:r>
        <w:rPr>
          <w:u w:val="single"/>
        </w:rPr>
        <w:t>Nonrecognition to Shareholders</w:t>
      </w:r>
      <w:r>
        <w:rPr/>
        <w:t>.  Code section 355(a) generally provides that, if a corporation distributes to its shareholders stock of a corporation that it controls immediately before the distribution, and certain other conditions are met, the shareholders do not recognize gain or loss upon receipt of the stock.</w:t>
      </w:r>
    </w:p>
    <w:p>
      <w:pPr>
        <w:pStyle w:val="Normal"/>
        <w:rPr/>
      </w:pPr>
      <w:r>
        <w:rPr/>
      </w:r>
    </w:p>
    <w:p>
      <w:pPr>
        <w:pStyle w:val="Normal"/>
        <w:rPr/>
      </w:pPr>
      <w:r>
        <w:rPr/>
        <w:tab/>
      </w:r>
      <w:r>
        <w:rPr>
          <w:rFonts w:eastAsia="Symbol" w:cs="Symbol" w:ascii="Symbol" w:hAnsi="Symbol"/>
        </w:rPr>
        <w:sym w:font="Symbol" w:char="f0b7"/>
      </w:r>
      <w:r>
        <w:rPr/>
        <w:tab/>
      </w:r>
      <w:r>
        <w:rPr>
          <w:u w:val="single"/>
        </w:rPr>
        <w:t>Nonrecognition to Distributing Corporation</w:t>
      </w:r>
      <w:r>
        <w:rPr/>
        <w:t>.  Code section 355(c) provides for nonrecognition to the distributing corporation, except if the corporation distributes appreciated property that is other than "qualified property."</w:t>
      </w:r>
    </w:p>
    <w:p>
      <w:pPr>
        <w:pStyle w:val="Normal"/>
        <w:rPr/>
      </w:pPr>
      <w:r>
        <w:rPr/>
      </w:r>
    </w:p>
    <w:p>
      <w:pPr>
        <w:pStyle w:val="Normal"/>
        <w:rPr/>
      </w:pPr>
      <w:r>
        <w:rPr/>
        <w:tab/>
      </w:r>
      <w:r>
        <w:rPr>
          <w:rFonts w:eastAsia="Symbol" w:cs="Symbol" w:ascii="Symbol" w:hAnsi="Symbol"/>
        </w:rPr>
        <w:sym w:font="Symbol" w:char="f0b7"/>
      </w:r>
      <w:r>
        <w:rPr/>
        <w:tab/>
        <w:t>"Qualified Property" is any stock or securities in the controlled corporation. Code section 355(c)(2)(B).</w:t>
      </w:r>
    </w:p>
    <w:p>
      <w:pPr>
        <w:pStyle w:val="Normal"/>
        <w:rPr/>
      </w:pPr>
      <w:r>
        <w:rPr/>
      </w:r>
    </w:p>
    <w:p>
      <w:pPr>
        <w:pStyle w:val="Normal"/>
        <w:rPr/>
      </w:pPr>
      <w:r>
        <w:rPr/>
        <w:tab/>
        <w:t>B.</w:t>
        <w:tab/>
      </w:r>
      <w:r>
        <w:rPr>
          <w:u w:val="single"/>
        </w:rPr>
        <w:t>Code Section 355(e)</w:t>
      </w:r>
    </w:p>
    <w:p>
      <w:pPr>
        <w:pStyle w:val="Normal"/>
        <w:rPr/>
      </w:pPr>
      <w:r>
        <w:rPr/>
      </w:r>
    </w:p>
    <w:p>
      <w:pPr>
        <w:pStyle w:val="Normal"/>
        <w:rPr/>
      </w:pPr>
      <w:r>
        <w:rPr/>
        <w:tab/>
      </w:r>
      <w:r>
        <w:rPr>
          <w:rFonts w:eastAsia="Symbol" w:cs="Symbol" w:ascii="Symbol" w:hAnsi="Symbol"/>
        </w:rPr>
        <w:sym w:font="Symbol" w:char="f0b7"/>
      </w:r>
      <w:r>
        <w:rPr/>
        <w:tab/>
        <w:t>Enacted in 1997.</w:t>
      </w:r>
    </w:p>
    <w:p>
      <w:pPr>
        <w:pStyle w:val="Normal"/>
        <w:rPr/>
      </w:pPr>
      <w:r>
        <w:rPr/>
      </w:r>
    </w:p>
    <w:p>
      <w:pPr>
        <w:pStyle w:val="Normal"/>
        <w:rPr/>
      </w:pPr>
      <w:r>
        <w:rPr/>
        <w:tab/>
      </w:r>
      <w:r>
        <w:rPr>
          <w:rFonts w:eastAsia="Symbol" w:cs="Symbol" w:ascii="Symbol" w:hAnsi="Symbol"/>
        </w:rPr>
        <w:sym w:font="Symbol" w:char="f0b7"/>
      </w:r>
      <w:r>
        <w:rPr/>
        <w:tab/>
        <w:t>Provides that the stock of a controlled corporation will not be "qualified property" under 355(c)(2) if the stock is distributed as "part of a plan (or series of related transactions) pursuant to which 1 or more persons acquire directly or indirectly stock representing a 50-percent or greater interest in the distributing corporation or any controlled corporation."</w:t>
      </w:r>
    </w:p>
    <w:p>
      <w:pPr>
        <w:pStyle w:val="Normal"/>
        <w:rPr/>
      </w:pPr>
      <w:r>
        <w:rPr/>
      </w:r>
    </w:p>
    <w:p>
      <w:pPr>
        <w:pStyle w:val="Normal"/>
        <w:rPr/>
      </w:pPr>
      <w:r>
        <w:rPr/>
        <w:tab/>
      </w:r>
      <w:r>
        <w:rPr>
          <w:rFonts w:eastAsia="Symbol" w:cs="Symbol" w:ascii="Symbol" w:hAnsi="Symbol"/>
        </w:rPr>
        <w:sym w:font="Symbol" w:char="f0b7"/>
      </w:r>
      <w:r>
        <w:rPr/>
        <w:tab/>
        <w:t>If 355(e) applies, distributing corporation is taxed on the amount by which the fair market value of controlled corporation's stock exceeds its basis.  Shareholders receive controlled corporation stock tax-free pursuant to Code section 355(a).</w:t>
      </w:r>
    </w:p>
    <w:p>
      <w:pPr>
        <w:pStyle w:val="Normal"/>
        <w:rPr/>
      </w:pPr>
      <w:r>
        <w:rPr/>
      </w:r>
    </w:p>
    <w:p>
      <w:pPr>
        <w:pStyle w:val="Normal"/>
        <w:rPr/>
      </w:pPr>
      <w:r>
        <w:rPr/>
        <w:tab/>
      </w:r>
      <w:r>
        <w:rPr>
          <w:rFonts w:eastAsia="Symbol" w:cs="Symbol" w:ascii="Symbol" w:hAnsi="Symbol"/>
        </w:rPr>
        <w:sym w:font="Symbol" w:char="f0b7"/>
      </w:r>
      <w:r>
        <w:rPr/>
        <w:tab/>
        <w:t>Code section 355(e)(2)(B) provides that, unless the taxpayer establishes otherwise, a plan (or series of related transactions) exists if "1 or more persons acquire directly or indirectly stock representing a 50-percent or greater interest in the distributing corporation or any controlled corporation during the 4-year period beginning on the date which is 2 years before the date of the distribution."</w:t>
      </w:r>
    </w:p>
    <w:p>
      <w:pPr>
        <w:pStyle w:val="Normal"/>
        <w:rPr/>
      </w:pPr>
      <w:r>
        <w:rPr/>
      </w:r>
    </w:p>
    <w:p>
      <w:pPr>
        <w:pStyle w:val="Normal"/>
        <w:rPr/>
      </w:pPr>
      <w:r>
        <w:rPr/>
        <w:tab/>
        <w:t>C.</w:t>
        <w:tab/>
      </w:r>
      <w:r>
        <w:rPr>
          <w:u w:val="single"/>
        </w:rPr>
        <w:t>Old Code Section 355(e) Proposed Regulations</w:t>
      </w:r>
    </w:p>
    <w:p>
      <w:pPr>
        <w:pStyle w:val="Normal"/>
        <w:rPr/>
      </w:pPr>
      <w:r>
        <w:rPr/>
      </w:r>
    </w:p>
    <w:p>
      <w:pPr>
        <w:pStyle w:val="Normal"/>
        <w:rPr/>
      </w:pPr>
      <w:r>
        <w:rPr/>
        <w:tab/>
      </w:r>
      <w:r>
        <w:rPr>
          <w:rFonts w:eastAsia="Symbol" w:cs="Symbol" w:ascii="Symbol" w:hAnsi="Symbol"/>
        </w:rPr>
        <w:sym w:font="Symbol" w:char="f0b7"/>
      </w:r>
      <w:r>
        <w:rPr/>
        <w:tab/>
        <w:t>Published August 24, 1999.</w:t>
      </w:r>
    </w:p>
    <w:p>
      <w:pPr>
        <w:pStyle w:val="Normal"/>
        <w:rPr/>
      </w:pPr>
      <w:r>
        <w:rPr/>
      </w:r>
    </w:p>
    <w:p>
      <w:pPr>
        <w:pStyle w:val="Normal"/>
        <w:rPr/>
      </w:pPr>
      <w:r>
        <w:rPr/>
        <w:tab/>
      </w:r>
      <w:r>
        <w:rPr>
          <w:rFonts w:eastAsia="Symbol" w:cs="Symbol" w:ascii="Symbol" w:hAnsi="Symbol"/>
        </w:rPr>
        <w:sym w:font="Symbol" w:char="f0b7"/>
      </w:r>
      <w:r>
        <w:rPr/>
        <w:tab/>
        <w:t>Provided the exclusive means by which a taxpayer could establish that a distribution and acquisition were not part of a plan, and required that the taxpayer must establish the absence of a plan with clear and convincing evidence.</w:t>
      </w:r>
    </w:p>
    <w:p>
      <w:pPr>
        <w:pStyle w:val="Normal"/>
        <w:rPr/>
      </w:pPr>
      <w:r>
        <w:rPr/>
      </w:r>
    </w:p>
    <w:p>
      <w:pPr>
        <w:pStyle w:val="Normal"/>
        <w:rPr/>
      </w:pPr>
      <w:r>
        <w:rPr/>
        <w:tab/>
      </w:r>
      <w:r>
        <w:rPr>
          <w:rFonts w:eastAsia="Symbol" w:cs="Symbol" w:ascii="Symbol" w:hAnsi="Symbol"/>
        </w:rPr>
        <w:sym w:font="Symbol" w:char="f0b7"/>
      </w:r>
      <w:r>
        <w:rPr/>
        <w:tab/>
        <w:t>Proposed regulations were withdrawn after comments and a public hearing.</w:t>
      </w:r>
    </w:p>
    <w:p>
      <w:pPr>
        <w:pStyle w:val="Normal"/>
        <w:rPr/>
      </w:pPr>
      <w:r>
        <w:rPr/>
      </w:r>
    </w:p>
    <w:p>
      <w:pPr>
        <w:pStyle w:val="Normal"/>
        <w:rPr/>
      </w:pPr>
      <w:r>
        <w:rPr/>
        <w:t>II.</w:t>
        <w:tab/>
      </w:r>
      <w:r>
        <w:rPr>
          <w:u w:val="single"/>
        </w:rPr>
        <w:t>New Proposed Regulations</w:t>
      </w:r>
    </w:p>
    <w:p>
      <w:pPr>
        <w:pStyle w:val="Normal"/>
        <w:rPr/>
      </w:pPr>
      <w:r>
        <w:rPr/>
      </w:r>
    </w:p>
    <w:p>
      <w:pPr>
        <w:pStyle w:val="Normal"/>
        <w:rPr/>
      </w:pPr>
      <w:r>
        <w:rPr/>
        <w:tab/>
        <w:t>A.</w:t>
        <w:tab/>
      </w:r>
      <w:r>
        <w:rPr>
          <w:u w:val="single"/>
        </w:rPr>
        <w:t>Safe Harbors</w:t>
      </w:r>
    </w:p>
    <w:p>
      <w:pPr>
        <w:pStyle w:val="Normal"/>
        <w:rPr/>
      </w:pPr>
      <w:r>
        <w:rPr/>
      </w:r>
    </w:p>
    <w:p>
      <w:pPr>
        <w:pStyle w:val="Normal"/>
        <w:rPr/>
      </w:pPr>
      <w:r>
        <w:rPr/>
        <w:tab/>
        <w:tab/>
        <w:t>1.</w:t>
        <w:tab/>
      </w:r>
      <w:r>
        <w:rPr>
          <w:u w:val="single"/>
        </w:rPr>
        <w:t>6 Month Acquisitions</w:t>
      </w:r>
    </w:p>
    <w:p>
      <w:pPr>
        <w:pStyle w:val="Normal"/>
        <w:rPr>
          <w:u w:val="single"/>
        </w:rPr>
      </w:pPr>
      <w:r>
        <w:rPr>
          <w:u w:val="single"/>
        </w:rPr>
      </w:r>
    </w:p>
    <w:p>
      <w:pPr>
        <w:pStyle w:val="Normal"/>
        <w:ind w:hanging="720" w:start="1440" w:end="0"/>
        <w:rPr/>
      </w:pPr>
      <w:r>
        <w:rPr>
          <w:rFonts w:eastAsia="Symbol" w:cs="Symbol" w:ascii="Symbol" w:hAnsi="Symbol"/>
        </w:rPr>
        <w:sym w:font="Symbol" w:char="f0b7"/>
      </w:r>
      <w:r>
        <w:rPr/>
        <w:tab/>
        <w:t>Acquisition occurring after distribution is not part of a plan if, (a) the acquisition occurs more than 6 months after the distribution and no agreement prior to 6 months after the distribution, and (b) substantial business purpose for distribution was a non-acquisition business purpose.</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Acquisition occurring after distribution is not part of a plan if, (a) the acquisition occurs more than 6 months after the distribution and no agreement prior to 6 months after the distribution, (b) substantial business purpose was to facilitate an acquisition of no more than 33% of D or C stock, and (c) no more than 20% of the corporation for which the acquisition business purpose relates was acquired or subject to agreement prior to 6 months after the distribution.</w:t>
      </w:r>
    </w:p>
    <w:p>
      <w:pPr>
        <w:pStyle w:val="Normal"/>
        <w:ind w:hanging="720" w:start="1440" w:end="0"/>
        <w:rPr/>
      </w:pPr>
      <w:r>
        <w:rPr/>
      </w:r>
    </w:p>
    <w:p>
      <w:pPr>
        <w:pStyle w:val="Normal"/>
        <w:rPr/>
      </w:pPr>
      <w:r>
        <w:rPr/>
        <w:tab/>
        <w:tab/>
        <w:t>2.</w:t>
        <w:tab/>
      </w:r>
      <w:r>
        <w:rPr>
          <w:u w:val="single"/>
        </w:rPr>
        <w:t>2 Year Acquisitions</w:t>
      </w:r>
    </w:p>
    <w:p>
      <w:pPr>
        <w:pStyle w:val="Normal"/>
        <w:ind w:hanging="720" w:start="1440" w:end="0"/>
        <w:rPr>
          <w:u w:val="single"/>
        </w:rPr>
      </w:pPr>
      <w:r>
        <w:rPr>
          <w:u w:val="single"/>
        </w:rPr>
      </w:r>
    </w:p>
    <w:p>
      <w:pPr>
        <w:pStyle w:val="Normal"/>
        <w:ind w:hanging="720" w:start="1440" w:end="0"/>
        <w:rPr/>
      </w:pPr>
      <w:r>
        <w:rPr>
          <w:rFonts w:eastAsia="Symbol" w:cs="Symbol" w:ascii="Symbol" w:hAnsi="Symbol"/>
        </w:rPr>
        <w:sym w:font="Symbol" w:char="f0b7"/>
      </w:r>
      <w:r>
        <w:rPr/>
        <w:tab/>
        <w:t>Acquisition occurring more than 2 year after the distribution is not part of a plan if no agreement prior to 6 months after distribution.</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Acquisition occurring more than 2 years before a distribution is not part of a plan if no agreement regarding the distribution within 6 months after the acquisition.</w:t>
      </w:r>
    </w:p>
    <w:p>
      <w:pPr>
        <w:pStyle w:val="Normal"/>
        <w:ind w:hanging="720" w:start="1440" w:end="0"/>
        <w:rPr/>
      </w:pPr>
      <w:r>
        <w:rPr/>
      </w:r>
    </w:p>
    <w:p>
      <w:pPr>
        <w:pStyle w:val="Normal"/>
        <w:ind w:firstLine="1440" w:end="0"/>
        <w:rPr/>
      </w:pPr>
      <w:r>
        <w:rPr/>
        <w:t>3.</w:t>
        <w:tab/>
      </w:r>
      <w:r>
        <w:rPr>
          <w:u w:val="single"/>
        </w:rPr>
        <w:t>Other Acquisitions</w:t>
      </w:r>
    </w:p>
    <w:p>
      <w:pPr>
        <w:pStyle w:val="Normal"/>
        <w:ind w:hanging="720" w:start="1440" w:end="0"/>
        <w:rPr>
          <w:u w:val="single"/>
        </w:rPr>
      </w:pPr>
      <w:r>
        <w:rPr>
          <w:u w:val="single"/>
        </w:rPr>
      </w:r>
    </w:p>
    <w:p>
      <w:pPr>
        <w:pStyle w:val="Normal"/>
        <w:ind w:hanging="720" w:start="1440" w:end="0"/>
        <w:rPr/>
      </w:pPr>
      <w:r>
        <w:rPr>
          <w:rFonts w:eastAsia="Symbol" w:cs="Symbol" w:ascii="Symbol" w:hAnsi="Symbol"/>
        </w:rPr>
        <w:sym w:font="Symbol" w:char="f0b7"/>
      </w:r>
      <w:r>
        <w:rPr/>
        <w:tab/>
        <w:t>Acquisitions of D or C stock (other than public offerings and redemptions) listed on established market are not part of a plan if the acquisition is between shareholders of D and C who are not "5% Shareholders."</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Acquisition by employees and directors in connection with the performance of services in a section 83 transaction are not part of a plan.</w:t>
      </w:r>
    </w:p>
    <w:p>
      <w:pPr>
        <w:pStyle w:val="Normal"/>
        <w:ind w:hanging="720" w:start="1440" w:end="0"/>
        <w:rPr/>
      </w:pPr>
      <w:r>
        <w:rPr/>
      </w:r>
    </w:p>
    <w:p>
      <w:pPr>
        <w:pStyle w:val="Normal"/>
        <w:keepNext w:val="true"/>
        <w:rPr/>
      </w:pPr>
      <w:r>
        <w:rPr/>
        <w:tab/>
        <w:t>B.</w:t>
        <w:tab/>
      </w:r>
      <w:r>
        <w:rPr>
          <w:u w:val="single"/>
        </w:rPr>
        <w:t>Factors Evidencing a Plan</w:t>
      </w:r>
    </w:p>
    <w:p>
      <w:pPr>
        <w:pStyle w:val="Normal"/>
        <w:keepNext w:val="true"/>
        <w:rPr/>
      </w:pPr>
      <w:r>
        <w:rPr/>
      </w:r>
    </w:p>
    <w:p>
      <w:pPr>
        <w:pStyle w:val="Normal"/>
        <w:keepNext w:val="true"/>
        <w:rPr/>
      </w:pPr>
      <w:r>
        <w:rPr/>
        <w:tab/>
        <w:tab/>
        <w:t>1.</w:t>
        <w:tab/>
      </w:r>
      <w:r>
        <w:rPr>
          <w:u w:val="single"/>
        </w:rPr>
        <w:t>Post-Distribution Acquisition</w:t>
      </w:r>
    </w:p>
    <w:p>
      <w:pPr>
        <w:pStyle w:val="Normal"/>
        <w:keepNext w:val="true"/>
        <w:rPr/>
      </w:pPr>
      <w:r>
        <w:rPr/>
      </w:r>
    </w:p>
    <w:p>
      <w:pPr>
        <w:pStyle w:val="Normal"/>
        <w:keepNext w:val="true"/>
        <w:ind w:hanging="720" w:start="1440" w:end="0"/>
        <w:rPr/>
      </w:pPr>
      <w:r>
        <w:rPr>
          <w:rFonts w:eastAsia="Symbol" w:cs="Symbol" w:ascii="Symbol" w:hAnsi="Symbol"/>
        </w:rPr>
        <w:sym w:font="Symbol" w:char="f0b7"/>
      </w:r>
      <w:r>
        <w:rPr/>
        <w:tab/>
        <w:t>Pre-distribution discussions between D or C and the acquirer about the acquisition or a "similar acquisition."</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Pre-distribution discussion between D or C and a potential acquirer about an acquisition and a similar acquisition by a different person occurs.</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Public offerings or auctions - pre-distribution discussions between D or C and an outside advisor.</w:t>
      </w:r>
    </w:p>
    <w:p>
      <w:pPr>
        <w:pStyle w:val="Normal"/>
        <w:ind w:hanging="720" w:start="1440" w:end="0"/>
        <w:rPr/>
      </w:pPr>
      <w:r>
        <w:rPr/>
      </w:r>
    </w:p>
    <w:p>
      <w:pPr>
        <w:pStyle w:val="Normal"/>
        <w:ind w:hanging="720" w:start="1440" w:end="0"/>
        <w:rPr/>
      </w:pPr>
      <w:r>
        <w:rPr/>
        <w:tab/>
        <w:t>2.</w:t>
        <w:tab/>
      </w:r>
      <w:r>
        <w:rPr>
          <w:u w:val="single"/>
        </w:rPr>
        <w:t>Post-Acquisition Distribution</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Pre-acquisition discussions between D or C and the acquirer about the distribution.</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Pre-acquisition discussion between D or C and a potential acquirer about a distribution where a similar acquisition by a different person occurs.</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Public offerings or auctions - pre-acquisition discussions between D or C and an outside advisor.</w:t>
      </w:r>
    </w:p>
    <w:p>
      <w:pPr>
        <w:pStyle w:val="Normal"/>
        <w:ind w:hanging="720" w:start="1440" w:end="0"/>
        <w:rPr/>
      </w:pPr>
      <w:r>
        <w:rPr/>
      </w:r>
    </w:p>
    <w:p>
      <w:pPr>
        <w:pStyle w:val="Normal"/>
        <w:ind w:hanging="720" w:start="1440" w:end="0"/>
        <w:rPr/>
      </w:pPr>
      <w:r>
        <w:rPr/>
        <w:tab/>
        <w:t>3.</w:t>
        <w:tab/>
      </w:r>
      <w:r>
        <w:rPr>
          <w:u w:val="single"/>
        </w:rPr>
        <w:t>Factors Applicable to Either Ordering</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The distribution was motivated by a business purpose to facilitate the acquisition or similar acquisition of D or C.</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The acquisition and distribution both occurred within a 6-month period, or there was an agreement within 6 months after the first transaction.</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 xml:space="preserve">Debt allocation between D and C made the acquisition likely. </w:t>
      </w:r>
    </w:p>
    <w:p>
      <w:pPr>
        <w:pStyle w:val="Normal"/>
        <w:rPr/>
      </w:pPr>
      <w:r>
        <w:rPr/>
      </w:r>
    </w:p>
    <w:p>
      <w:pPr>
        <w:pStyle w:val="Normal"/>
        <w:rPr/>
      </w:pPr>
      <w:r>
        <w:rPr/>
        <w:tab/>
        <w:t>C.</w:t>
        <w:tab/>
      </w:r>
      <w:r>
        <w:rPr>
          <w:u w:val="single"/>
        </w:rPr>
        <w:t>Factors Evidencing a Non-Plan</w:t>
      </w:r>
    </w:p>
    <w:p>
      <w:pPr>
        <w:pStyle w:val="Normal"/>
        <w:rPr/>
      </w:pPr>
      <w:r>
        <w:rPr/>
      </w:r>
    </w:p>
    <w:p>
      <w:pPr>
        <w:pStyle w:val="Normal"/>
        <w:rPr/>
      </w:pPr>
      <w:r>
        <w:rPr/>
        <w:tab/>
        <w:tab/>
        <w:t>1.</w:t>
        <w:tab/>
      </w:r>
      <w:r>
        <w:rPr>
          <w:u w:val="single"/>
        </w:rPr>
        <w:t>Post-Distribution Acquisition</w:t>
      </w:r>
    </w:p>
    <w:p>
      <w:pPr>
        <w:pStyle w:val="Normal"/>
        <w:rPr/>
      </w:pPr>
      <w:r>
        <w:rPr/>
      </w:r>
    </w:p>
    <w:p>
      <w:pPr>
        <w:pStyle w:val="Normal"/>
        <w:ind w:hanging="720" w:start="1440" w:end="0"/>
        <w:rPr/>
      </w:pPr>
      <w:r>
        <w:rPr>
          <w:rFonts w:eastAsia="Symbol" w:cs="Symbol" w:ascii="Symbol" w:hAnsi="Symbol"/>
        </w:rPr>
        <w:sym w:font="Symbol" w:char="f0b7"/>
      </w:r>
      <w:r>
        <w:rPr/>
        <w:tab/>
        <w:t>No discussions between D or C and the acquirer or any potential acquirer about the acquisition or a "similar acquisition."</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Public offerings or auctions - no pre-distribution discussions between D or C and an outside advisor.</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There was an identifiable unexpected change in market or business conditions occurring after the distribution resulting in unexpected (pre-change) acquisition.</w:t>
      </w:r>
    </w:p>
    <w:p>
      <w:pPr>
        <w:pStyle w:val="Normal"/>
        <w:ind w:hanging="720" w:start="1440" w:end="0"/>
        <w:rPr/>
      </w:pPr>
      <w:r>
        <w:rPr/>
      </w:r>
    </w:p>
    <w:p>
      <w:pPr>
        <w:pStyle w:val="Normal"/>
        <w:ind w:hanging="720" w:start="1440" w:end="0"/>
        <w:rPr/>
      </w:pPr>
      <w:r>
        <w:rPr/>
        <w:tab/>
        <w:t>2.</w:t>
        <w:tab/>
      </w:r>
      <w:r>
        <w:rPr>
          <w:u w:val="single"/>
        </w:rPr>
        <w:t>Post-Acquisition Distribution</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No discussions between D or C and the acquirer about the distribution (unless acquisition occurs after announcement of distribution).</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There was an identifiable unexpected change in market or business conditions occurring after the acquisition resulting in unexpected (pre-change) distribution.</w:t>
      </w:r>
    </w:p>
    <w:p>
      <w:pPr>
        <w:pStyle w:val="Normal"/>
        <w:rPr/>
      </w:pPr>
      <w:r>
        <w:rPr/>
      </w:r>
    </w:p>
    <w:p>
      <w:pPr>
        <w:pStyle w:val="Normal"/>
        <w:rPr/>
      </w:pPr>
      <w:r>
        <w:rPr/>
        <w:tab/>
        <w:tab/>
        <w:t>3.</w:t>
        <w:tab/>
      </w:r>
      <w:r>
        <w:rPr>
          <w:u w:val="single"/>
        </w:rPr>
        <w:t>Factors Applicable to Either Ordering</w:t>
      </w:r>
    </w:p>
    <w:p>
      <w:pPr>
        <w:pStyle w:val="Normal"/>
        <w:rPr/>
      </w:pPr>
      <w:r>
        <w:rPr/>
      </w:r>
    </w:p>
    <w:p>
      <w:pPr>
        <w:pStyle w:val="Normal"/>
        <w:ind w:hanging="720" w:start="1440" w:end="0"/>
        <w:rPr/>
      </w:pPr>
      <w:r>
        <w:rPr>
          <w:rFonts w:eastAsia="Symbol" w:cs="Symbol" w:ascii="Symbol" w:hAnsi="Symbol"/>
        </w:rPr>
        <w:sym w:font="Symbol" w:char="f0b7"/>
      </w:r>
      <w:r>
        <w:rPr/>
        <w:tab/>
        <w:t>The distribution was motivated by a business purpose other than to facilitate the acquisition or similar acquisition of D or C.</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The distribution would have occurred at about the same time and in similar form regardless of acquisition or a similar acquisition.</w:t>
      </w:r>
    </w:p>
    <w:p>
      <w:pPr>
        <w:pStyle w:val="Normal"/>
        <w:rPr/>
      </w:pPr>
      <w:r>
        <w:rPr/>
      </w:r>
    </w:p>
    <w:p>
      <w:pPr>
        <w:pStyle w:val="Normal"/>
        <w:rPr/>
      </w:pPr>
      <w:r>
        <w:rPr/>
        <w:tab/>
        <w:t>D.</w:t>
        <w:tab/>
      </w:r>
      <w:r>
        <w:rPr>
          <w:u w:val="single"/>
        </w:rPr>
        <w:t>Operating Rules</w:t>
      </w:r>
    </w:p>
    <w:p>
      <w:pPr>
        <w:pStyle w:val="Normal"/>
        <w:rPr/>
      </w:pPr>
      <w:r>
        <w:rPr/>
      </w:r>
    </w:p>
    <w:p>
      <w:pPr>
        <w:pStyle w:val="Normal"/>
        <w:rPr/>
      </w:pPr>
      <w:r>
        <w:rPr/>
        <w:tab/>
        <w:tab/>
        <w:t>1.</w:t>
        <w:tab/>
      </w:r>
      <w:r>
        <w:rPr>
          <w:u w:val="single"/>
        </w:rPr>
        <w:t>Reasonable Certainty Rule</w:t>
      </w:r>
    </w:p>
    <w:p>
      <w:pPr>
        <w:pStyle w:val="Normal"/>
        <w:rPr/>
      </w:pPr>
      <w:r>
        <w:rPr/>
      </w:r>
    </w:p>
    <w:p>
      <w:pPr>
        <w:pStyle w:val="Normal"/>
        <w:ind w:hanging="720" w:start="1440" w:end="0"/>
        <w:rPr/>
      </w:pPr>
      <w:r>
        <w:rPr>
          <w:rFonts w:eastAsia="Symbol" w:cs="Symbol" w:ascii="Symbol" w:hAnsi="Symbol"/>
        </w:rPr>
        <w:sym w:font="Symbol" w:char="f0b7"/>
      </w:r>
      <w:r>
        <w:rPr/>
        <w:tab/>
        <w:t>Post-Distribution Acquisitions - Evidence of business purpose to facilitate an acquisition if, at the time of the distribution, it was "reasonably certain" that within 6 months of the distribution, (i) an acquisition would occur, or (ii) an agreement, understanding or arrangement would exist, or substantial negotiations would occur regarding the acquisition.</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Post-Acquisition Distributions - Evidence of business purpose to facilitate an acquisition if, (i) acquisition occurs after public announcement of distribution, or (ii) at the time of the acquisition it was "reasonably certain" that prior to 6 months after the acquisition, it was "reasonably certain" that (a) a distribution would occur, or (b) an agreement, understanding or arrangement would exist or substantial negotiations would occur regarding the distribution.</w:t>
      </w:r>
    </w:p>
    <w:p>
      <w:pPr>
        <w:pStyle w:val="Normal"/>
        <w:ind w:hanging="720" w:start="1440" w:end="0"/>
        <w:rPr/>
      </w:pPr>
      <w:r>
        <w:rPr/>
      </w:r>
    </w:p>
    <w:p>
      <w:pPr>
        <w:pStyle w:val="Normal"/>
        <w:ind w:hanging="720" w:start="1440" w:end="0"/>
        <w:rPr/>
      </w:pPr>
      <w:r>
        <w:rPr/>
        <w:tab/>
        <w:t>2.</w:t>
        <w:tab/>
      </w:r>
      <w:r>
        <w:rPr>
          <w:u w:val="single"/>
        </w:rPr>
        <w:t>Internal Discussion Rule</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Internal discussions regarding an acquisition are evidence that the business purpose is to facilitate the acquisition.</w:t>
      </w:r>
    </w:p>
    <w:p>
      <w:pPr>
        <w:pStyle w:val="Normal"/>
        <w:ind w:hanging="720" w:start="1440" w:end="0"/>
        <w:rPr/>
      </w:pPr>
      <w:r>
        <w:rPr/>
      </w:r>
    </w:p>
    <w:p>
      <w:pPr>
        <w:pStyle w:val="Normal"/>
        <w:keepNext w:val="true"/>
        <w:ind w:hanging="720" w:start="1440" w:end="0"/>
        <w:rPr/>
      </w:pPr>
      <w:r>
        <w:rPr/>
        <w:tab/>
        <w:t>3.</w:t>
        <w:tab/>
      </w:r>
      <w:r>
        <w:rPr>
          <w:u w:val="single"/>
        </w:rPr>
        <w:t>Hostile Takeover Rule</w:t>
      </w:r>
    </w:p>
    <w:p>
      <w:pPr>
        <w:pStyle w:val="Normal"/>
        <w:keepNext w:val="true"/>
        <w:ind w:hanging="720" w:start="1440" w:end="0"/>
        <w:rPr/>
      </w:pPr>
      <w:r>
        <w:rPr/>
      </w:r>
    </w:p>
    <w:p>
      <w:pPr>
        <w:pStyle w:val="Normal"/>
        <w:keepNext w:val="true"/>
        <w:ind w:hanging="720" w:start="1440" w:end="0"/>
        <w:rPr/>
      </w:pPr>
      <w:r>
        <w:rPr>
          <w:rFonts w:eastAsia="Symbol" w:cs="Symbol" w:ascii="Symbol" w:hAnsi="Symbol"/>
        </w:rPr>
        <w:sym w:font="Symbol" w:char="f0b7"/>
      </w:r>
      <w:r>
        <w:rPr/>
        <w:tab/>
        <w:t>Distributions intending (in whole or in part) to decrease the likelihood of the takeover of D or C is a business purpose to facilitate the acquisition.</w:t>
      </w:r>
    </w:p>
    <w:p>
      <w:pPr>
        <w:pStyle w:val="Normal"/>
        <w:ind w:hanging="720" w:start="1440" w:end="0"/>
        <w:rPr/>
      </w:pPr>
      <w:r>
        <w:rPr/>
      </w:r>
    </w:p>
    <w:p>
      <w:pPr>
        <w:pStyle w:val="Normal"/>
        <w:ind w:hanging="720" w:start="1440" w:end="0"/>
        <w:rPr/>
      </w:pPr>
      <w:r>
        <w:rPr/>
        <w:tab/>
        <w:t>4.</w:t>
        <w:tab/>
      </w:r>
      <w:r>
        <w:rPr>
          <w:u w:val="single"/>
        </w:rPr>
        <w:t>Public Trading Rule</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Distributions to make C stock available for trading, or D or C stock trade more actively, are not taken into account in determining whether an acquisition is part of a plan.</w:t>
      </w:r>
    </w:p>
    <w:p>
      <w:pPr>
        <w:pStyle w:val="Normal"/>
        <w:ind w:hanging="720" w:start="1440" w:end="0"/>
        <w:rPr/>
      </w:pPr>
      <w:r>
        <w:rPr/>
      </w:r>
    </w:p>
    <w:p>
      <w:pPr>
        <w:pStyle w:val="Normal"/>
        <w:ind w:hanging="720" w:start="1440" w:end="0"/>
        <w:rPr/>
      </w:pPr>
      <w:r>
        <w:rPr/>
        <w:tab/>
        <w:t>5.</w:t>
        <w:tab/>
      </w:r>
      <w:r>
        <w:rPr>
          <w:u w:val="single"/>
        </w:rPr>
        <w:t>Disregard of Section 355(e) Gain Rule</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Indemnification from section 355(e) gain, or gain itself, if disregarded in determining intention of the parties.</w:t>
      </w:r>
    </w:p>
    <w:p>
      <w:pPr>
        <w:pStyle w:val="Normal"/>
        <w:ind w:hanging="720" w:start="1440" w:end="0"/>
        <w:rPr/>
      </w:pPr>
      <w:r>
        <w:rPr/>
      </w:r>
    </w:p>
    <w:p>
      <w:pPr>
        <w:pStyle w:val="Normal"/>
        <w:ind w:hanging="720" w:start="1440" w:end="0"/>
        <w:rPr/>
      </w:pPr>
      <w:r>
        <w:rPr/>
        <w:tab/>
        <w:t>6.</w:t>
        <w:tab/>
      </w:r>
      <w:r>
        <w:rPr>
          <w:u w:val="single"/>
        </w:rPr>
        <w:t>Substantial Diminution of Risk Rule</w:t>
      </w:r>
    </w:p>
    <w:p>
      <w:pPr>
        <w:pStyle w:val="Normal"/>
        <w:ind w:hanging="720" w:start="1440" w:end="0"/>
        <w:rPr/>
      </w:pPr>
      <w:r>
        <w:rPr/>
      </w:r>
    </w:p>
    <w:p>
      <w:pPr>
        <w:pStyle w:val="Normal"/>
        <w:ind w:hanging="720" w:start="1440" w:end="0"/>
        <w:rPr/>
      </w:pPr>
      <w:r>
        <w:rPr>
          <w:rFonts w:eastAsia="Symbol" w:cs="Symbol" w:ascii="Symbol" w:hAnsi="Symbol"/>
        </w:rPr>
        <w:sym w:font="Symbol" w:char="f0b7"/>
      </w:r>
      <w:r>
        <w:rPr/>
        <w:tab/>
        <w:t>Period of time where risk of loss is "substantially diminished."</w:t>
      </w:r>
    </w:p>
    <w:p>
      <w:pPr>
        <w:pStyle w:val="Normal"/>
        <w:ind w:hanging="720" w:start="1440" w:end="0"/>
        <w:rPr/>
      </w:pPr>
      <w:r>
        <w:rPr/>
      </w:r>
    </w:p>
    <w:p>
      <w:pPr>
        <w:pStyle w:val="Normal"/>
        <w:rPr>
          <w:b/>
          <w:smallCaps/>
        </w:rPr>
      </w:pPr>
      <w:r>
        <w:rPr>
          <w:b/>
          <w:smallCaps/>
        </w:rPr>
      </w:r>
    </w:p>
    <w:p>
      <w:pPr>
        <w:sectPr>
          <w:headerReference w:type="default" r:id="rId31"/>
          <w:headerReference w:type="first" r:id="rId32"/>
          <w:footerReference w:type="default" r:id="rId33"/>
          <w:footerReference w:type="first" r:id="rId34"/>
          <w:footnotePr>
            <w:numFmt w:val="decimal"/>
          </w:footnotePr>
          <w:type w:val="nextPage"/>
          <w:pgSz w:w="12240" w:h="15840"/>
          <w:pgMar w:left="1728" w:right="1728" w:gutter="0" w:header="720" w:top="1440" w:footer="720" w:bottom="1440"/>
          <w:pgNumType w:start="1" w:fmt="decimal"/>
          <w:formProt w:val="false"/>
          <w:titlePg/>
          <w:textDirection w:val="lrTb"/>
          <w:docGrid w:type="default" w:linePitch="360" w:charSpace="0"/>
        </w:sectPr>
        <w:pStyle w:val="Normal"/>
        <w:rPr>
          <w:b/>
          <w:smallCaps/>
        </w:rPr>
      </w:pPr>
      <w:r>
        <w:rPr>
          <w:b/>
          <w:smallCaps/>
        </w:rPr>
        <w:t>(See Attached Excel charts)</w:t>
      </w:r>
    </w:p>
    <w:p>
      <w:pPr>
        <w:pStyle w:val="Normal"/>
        <w:rPr>
          <w:b/>
          <w:smallCaps/>
        </w:rPr>
      </w:pPr>
      <w:r>
        <w:rPr>
          <w:b/>
          <w:smallCaps/>
        </w:rPr>
        <w:t>Comments on Treasury Regulations Addressing Hedging Transactions</w:t>
      </w:r>
    </w:p>
    <w:p>
      <w:pPr>
        <w:pStyle w:val="Normal"/>
        <w:rPr>
          <w:b/>
          <w:smallCaps/>
        </w:rPr>
      </w:pPr>
      <w:r>
        <w:rPr>
          <w:b/>
          <w:smallCaps/>
        </w:rPr>
      </w:r>
    </w:p>
    <w:p>
      <w:pPr>
        <w:pStyle w:val="Normal"/>
        <w:rPr>
          <w:b/>
          <w:smallCaps/>
          <w:u w:val="single"/>
        </w:rPr>
      </w:pPr>
      <w:r>
        <w:rPr>
          <w:b/>
          <w:smallCaps/>
          <w:u w:val="single"/>
        </w:rPr>
        <w:t>Item Eight</w:t>
      </w:r>
    </w:p>
    <w:p>
      <w:pPr>
        <w:pStyle w:val="Normal"/>
        <w:rPr>
          <w:b/>
          <w:smallCaps/>
          <w:u w:val="single"/>
        </w:rPr>
      </w:pPr>
      <w:r>
        <w:rPr>
          <w:b/>
          <w:smallCaps/>
          <w:u w:val="single"/>
        </w:rPr>
      </w:r>
    </w:p>
    <w:p>
      <w:pPr>
        <w:pStyle w:val="Normal"/>
        <w:rPr>
          <w:b/>
          <w:smallCaps/>
        </w:rPr>
      </w:pPr>
      <w:r>
        <w:rPr>
          <w:b/>
          <w:smallCaps/>
        </w:rPr>
      </w:r>
    </w:p>
    <w:p>
      <w:pPr>
        <w:pStyle w:val="Normal"/>
        <w:rPr/>
      </w:pPr>
      <w:r>
        <w:rPr/>
        <w:t>Internal Revenue Service</w:t>
        <w:br/>
        <w:t>P.O. Box 7604</w:t>
        <w:br/>
        <w:t>Ben Franklin Station</w:t>
        <w:br/>
        <w:t>Washington, D.C. 20044</w:t>
      </w:r>
    </w:p>
    <w:p>
      <w:pPr>
        <w:pStyle w:val="Normal"/>
        <w:rPr/>
      </w:pPr>
      <w:r>
        <w:rPr/>
      </w:r>
    </w:p>
    <w:p>
      <w:pPr>
        <w:pStyle w:val="BodyText"/>
        <w:ind w:hanging="0" w:end="0"/>
        <w:rPr/>
      </w:pPr>
      <w:r>
        <w:rPr>
          <w:b/>
        </w:rPr>
        <w:t xml:space="preserve">HAND DELIVERED TO:   </w:t>
      </w:r>
      <w:r>
        <w:rPr/>
        <w:t>Courier’s Desk</w:t>
        <w:br/>
        <w:t>C.C.  M&amp;SP: RU (Reg.-107047-00)</w:t>
        <w:br/>
        <w:t>Internal Revenue Service</w:t>
        <w:br/>
        <w:t>1111 Constitution Avenue, N.W.</w:t>
        <w:br/>
        <w:t>Washington D.C. 20224</w:t>
      </w:r>
    </w:p>
    <w:p>
      <w:pPr>
        <w:pStyle w:val="Memo-ReLine"/>
        <w:tabs>
          <w:tab w:val="clear" w:pos="720"/>
          <w:tab w:val="left" w:pos="8748" w:leader="none"/>
        </w:tabs>
        <w:rPr/>
      </w:pPr>
      <w:r>
        <w:rPr/>
      </w:r>
    </w:p>
    <w:p>
      <w:pPr>
        <w:pStyle w:val="Memo-ReLine"/>
        <w:tabs>
          <w:tab w:val="clear" w:pos="720"/>
          <w:tab w:val="left" w:pos="8748" w:leader="none"/>
        </w:tabs>
        <w:ind w:hanging="720" w:start="720" w:end="0"/>
        <w:rPr/>
      </w:pPr>
      <w:r>
        <w:rPr/>
        <w:tab/>
        <w:t>RE:  Comments on Proposed Hedging Regulations</w:t>
      </w:r>
    </w:p>
    <w:p>
      <w:pPr>
        <w:pStyle w:val="Normal"/>
        <w:rPr/>
      </w:pPr>
      <w:r>
        <w:rPr/>
      </w:r>
    </w:p>
    <w:p>
      <w:pPr>
        <w:pStyle w:val="Normal"/>
        <w:rPr/>
      </w:pPr>
      <w:r>
        <w:rPr/>
        <w:t>Dear Sir or Madam:</w:t>
      </w:r>
    </w:p>
    <w:p>
      <w:pPr>
        <w:pStyle w:val="Normal"/>
        <w:rPr/>
      </w:pPr>
      <w:r>
        <w:rPr/>
      </w:r>
    </w:p>
    <w:p>
      <w:pPr>
        <w:pStyle w:val="Normal"/>
        <w:spacing w:before="0" w:after="240"/>
        <w:rPr/>
      </w:pPr>
      <w:r>
        <w:rPr/>
        <w:tab/>
        <w:t>This letter expresses the views of McDermott, Will &amp; Emery and those of several of its clients on proposed Treasury regulation section 1.1221-2, which addresses business hedging transactions (Reg.</w:t>
        <w:noBreakHyphen/>
        <w:t>1077040-00) (the “Proposed Regulations”).  We request permission to testify at the hearing scheduled for May 16, 2001.  Our testimony at the hearing will be based on the views expressed in this letter.</w:t>
      </w:r>
    </w:p>
    <w:p>
      <w:pPr>
        <w:pStyle w:val="Normal"/>
        <w:spacing w:before="0" w:after="240"/>
        <w:rPr/>
      </w:pPr>
      <w:r>
        <w:rPr/>
        <w:tab/>
        <w:t>The Proposed Regulations were issued to reflect changes to the law regarding the tax character of business hedging transactions made by the Ticket to Work and Work Incentives Improvement Act of 1999 (the “1999 Act”).  The 1999 Act included new Code §§1221(a)(7) and 1221(b)(2), which resulted in a statutory definition of business “hedging transactions” eligible for ordinary gain and loss treatment.</w:t>
      </w:r>
      <w:r>
        <w:rPr>
          <w:rStyle w:val="FootnoteCharacters"/>
          <w:rStyle w:val="FootnoteReference"/>
        </w:rPr>
        <w:footnoteReference w:id="8"/>
      </w:r>
    </w:p>
    <w:p>
      <w:pPr>
        <w:pStyle w:val="Normal"/>
        <w:spacing w:before="0" w:after="240"/>
        <w:rPr/>
      </w:pPr>
      <w:r>
        <w:rPr/>
        <w:tab/>
        <w:t xml:space="preserve">The definition of a “hedging transaction” adopted by Congress in Code §1221(b)(2) generally codified the definition of a hedging transaction under existing Treasury Regulation §1.1221-2 (the “Current Regulations”) with one critical exception.  Rather than follow the Current Regulations, which attempt to limit qualifying hedging transactions to risk </w:t>
      </w:r>
      <w:r>
        <w:rPr>
          <w:i/>
        </w:rPr>
        <w:t>reduction</w:t>
      </w:r>
      <w:r>
        <w:rPr/>
        <w:t xml:space="preserve"> transactions, Congress defined a qualifying hedging transaction in Code §1221(b)(2) to include risk </w:t>
      </w:r>
      <w:r>
        <w:rPr>
          <w:i/>
        </w:rPr>
        <w:t>management</w:t>
      </w:r>
      <w:r>
        <w:rPr/>
        <w:t xml:space="preserve"> transactions.  This statutory expansion from a risk “reduction” to a risk “management” standard represented a significant, substantive departure from the approach taken by the Treasury under the Current Regulations.</w:t>
      </w:r>
    </w:p>
    <w:p>
      <w:pPr>
        <w:pStyle w:val="Normal"/>
        <w:spacing w:before="0" w:after="240"/>
        <w:rPr/>
      </w:pPr>
      <w:r>
        <w:rPr/>
        <w:tab/>
        <w:t>Rather than adopt new regulations, the Treasury has attempted to conform the Current Regulations to reflect the changes made by the 1999 Act.  While the Treasury deserves praise for its efforts to incorporate the new “risk management” standard, we believe the Proposed Regulations fall far short of what Congress intended.  This shortcoming results from the fact that while the Proposed Regulations generally define a “hedging transaction” in terms of the required “risk management” standard, many of the operative provisions revert back to the “risk reduction” standard of the Current Regulations.</w:t>
      </w:r>
      <w:r>
        <w:rPr>
          <w:rStyle w:val="FootnoteCharacters"/>
          <w:rStyle w:val="FootnoteReference"/>
        </w:rPr>
        <w:footnoteReference w:id="9"/>
      </w:r>
      <w:r>
        <w:rPr/>
        <w:t xml:space="preserve">  For example, the Rules of Application state that “[a] transaction that is not entered into to </w:t>
      </w:r>
      <w:r>
        <w:rPr>
          <w:i/>
        </w:rPr>
        <w:t>reduce</w:t>
      </w:r>
      <w:r>
        <w:rPr/>
        <w:t xml:space="preserve"> a taxpayer’s risk does not </w:t>
      </w:r>
      <w:r>
        <w:rPr>
          <w:i/>
        </w:rPr>
        <w:t>manage</w:t>
      </w:r>
      <w:r>
        <w:rPr/>
        <w:t xml:space="preserve"> risk.”</w:t>
      </w:r>
      <w:r>
        <w:rPr>
          <w:rStyle w:val="FootnoteCharacters"/>
          <w:rStyle w:val="FootnoteReference"/>
        </w:rPr>
        <w:footnoteReference w:id="10"/>
      </w:r>
      <w:r>
        <w:rPr/>
        <w:t xml:space="preserve">  (Emphasis added).  This, and similar Rules of Application in the Proposed Regulations would, if adopted as final regulations, effectively negate the statutory changes Congress thought it was making in 1999.  By attempting to equate risk </w:t>
      </w:r>
      <w:r>
        <w:rPr>
          <w:i/>
        </w:rPr>
        <w:t>management</w:t>
      </w:r>
      <w:r>
        <w:rPr/>
        <w:t xml:space="preserve"> with the old risk </w:t>
      </w:r>
      <w:r>
        <w:rPr>
          <w:i/>
        </w:rPr>
        <w:t>reduction</w:t>
      </w:r>
      <w:r>
        <w:rPr/>
        <w:t xml:space="preserve"> standard, the Proposed Regulations are deficient and fail to carry out Congress’ intent in adopting the new “risk management” standard in Code §§1221(a)(7) and 1221(b)(2).</w:t>
      </w:r>
    </w:p>
    <w:p>
      <w:pPr>
        <w:pStyle w:val="Normal"/>
        <w:spacing w:before="0" w:after="240"/>
        <w:rPr/>
      </w:pPr>
      <w:r>
        <w:rPr/>
        <w:tab/>
        <w:t>Our basic position is straightforward:  The Proposed Regulations must be conformed throughout to replace the concept of “risk reduction” with the Congressionally required standard of “risk management.”  To meet the Congressional mandate, we believe the final Treasury regulations must provide examples of modern risk management activities--beyond simple “risk reduction”--that constitute qualifying hedging transactions.  Providing guidance--in the form of examples--of qualifying risk management activities is essential to assure consistent tax character and timing for modern risk management activities.</w:t>
      </w:r>
    </w:p>
    <w:p>
      <w:pPr>
        <w:pStyle w:val="Normal"/>
        <w:spacing w:before="0" w:after="240"/>
        <w:rPr/>
      </w:pPr>
      <w:r>
        <w:rPr/>
        <w:tab/>
        <w:t>To that end, we provide in this letter a description of some of the common risk management activities of dealers in commodities that should be recognized by the Treasury as meeting the risk management standard of Code §§1221(a)(7) and 1221(b)(2).  As we discuss more fully below, we propose that the final regulations under Code §1221(a)(7) include a definition of qualifying risk management that includes Rules of Application for Dealers in Commodities.</w:t>
      </w:r>
      <w:r>
        <w:rPr>
          <w:rStyle w:val="FootnoteCharacters"/>
          <w:rStyle w:val="FootnoteReference"/>
        </w:rPr>
        <w:footnoteReference w:id="11"/>
      </w:r>
      <w:r>
        <w:rPr/>
        <w:t xml:space="preserve">  This definition should extend to any “commodities derivatives” that are entered into in the normal course of the business of a Dealer in Commodities if three conditions are met.</w:t>
      </w:r>
      <w:r>
        <w:rPr>
          <w:rStyle w:val="FootnoteCharacters"/>
          <w:rStyle w:val="FootnoteReference"/>
        </w:rPr>
        <w:footnoteReference w:id="12"/>
      </w:r>
      <w:r>
        <w:rPr/>
        <w:t xml:space="preserve">  First, the risk management transaction must be in a derivative the value or settlement of which is based on, or determined by reference to, the value of a commodity in which the Dealer in Commodities acts as dealer.  Second, the transactions must have been entered into within the pre-approved controls on speculation (referred to herein as “Position Limits”) set out in formally adopted risk management policies established by the Dealer in Commodity’s senior management (referred to herein as a “Risk Management Program”).  Third, the risk management transactions must not have been identified by the Dealer in Commodities as having been entered into in its dealer capacity.</w:t>
      </w:r>
    </w:p>
    <w:p>
      <w:pPr>
        <w:pStyle w:val="Normal"/>
        <w:spacing w:before="0" w:after="240"/>
        <w:rPr/>
      </w:pPr>
      <w:r>
        <w:rPr/>
        <w:tab/>
        <w:t>Our proposal with respect to the types of commodities derivatives entered into by a Dealer in Commodities that should qualify as “hedging transactions” under Code §1221(a)(7) closely follows the approach taken by the Treasury in the Current Regulations with respect to aggregate hedgers.  Our proposal recognizes the existence of appropriate and inevitable differences between Dealers in Commodities as to their risk tolerances and risk management techniques.  Our approach is based on the realistic expectation that every Dealer in Commodities will have a unique view of the commodities markets, including the definition and management of the risks attributable to its normal business activities.  Consistent with the approach set out in the Current Regulations with respect to aggregate hedgers, it is our view that tax regulations should respect those differences as long as they reflect the bona fide policies formally adopted by the dealer’s senior management, and those policies are adhered to on a consistent basis.</w:t>
      </w:r>
    </w:p>
    <w:p>
      <w:pPr>
        <w:pStyle w:val="Normal"/>
        <w:spacing w:before="0" w:after="240"/>
        <w:rPr/>
      </w:pPr>
      <w:r>
        <w:rPr/>
        <w:tab/>
        <w:t>The remainder of this letter is structured as follows.  In Section I, we discuss the development of the new “risk management” standard set out in Code §§1221(a)(7) and 1221(b)(2).  In Section II, we address the application of the risk management standard to Dealers in Commodities, including a description of our recommendation that the Treasury adopt a risk management standard for Dealers in Commodities.  In Section II, we also address why a formally adopted Risk Management Program that includes pre-approved Position Limits provides acceptable controls that can be used to ensure that transactions entered into within such Position Limits should be considered qualifying risk management transactions for purposes of Code §§1221(a)(7) and 1221(b)(2).  Finally, we have attached as Appendix A suggested language for a Rule of Application addressing the risk management standards for Dealers in Commodities.</w:t>
      </w:r>
    </w:p>
    <w:p>
      <w:pPr>
        <w:pStyle w:val="Normal"/>
        <w:keepNext w:val="true"/>
        <w:tabs>
          <w:tab w:val="clear" w:pos="720"/>
          <w:tab w:val="left" w:pos="-576" w:leader="none"/>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suppressAutoHyphens w:val="true"/>
        <w:spacing w:before="0" w:after="240"/>
        <w:rPr>
          <w:b/>
        </w:rPr>
      </w:pPr>
      <w:r>
        <w:rPr>
          <w:b/>
        </w:rPr>
        <w:t>I.</w:t>
        <w:tab/>
        <w:t>Development of the Risk Management Standard</w:t>
      </w:r>
    </w:p>
    <w:p>
      <w:pPr>
        <w:pStyle w:val="Normal"/>
        <w:tabs>
          <w:tab w:val="clear" w:pos="720"/>
          <w:tab w:val="left" w:pos="-576" w:leader="none"/>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suppressAutoHyphens w:val="true"/>
        <w:spacing w:before="0" w:after="240"/>
        <w:rPr/>
      </w:pPr>
      <w:r>
        <w:rPr/>
        <w:tab/>
        <w:t>In this section of our letter, we discuss the development of the statutory risk management standard for hedging transactions.  First, we look at the Treasury’s establishment of a “risk reduction” standard in the Current Regulations.  Second, we address enactment of the statutory “risk management” standard in Code §1221(a)(7).  Third, we discuss the relevance of statutory developments for commodities derivatives dealers in Code §1221(a)(6).  And finally, we look at the Treasury’s response to the statutory “risk management” standard in its Proposed Regulations.</w:t>
      </w:r>
    </w:p>
    <w:p>
      <w:pPr>
        <w:pStyle w:val="Normal"/>
        <w:keepNext w:val="true"/>
        <w:tabs>
          <w:tab w:val="clear" w:pos="720"/>
          <w:tab w:val="left" w:pos="-576" w:leader="none"/>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suppressAutoHyphens w:val="true"/>
        <w:spacing w:before="0" w:after="240"/>
        <w:rPr/>
      </w:pPr>
      <w:r>
        <w:rPr/>
        <w:tab/>
        <w:t>A.</w:t>
        <w:tab/>
        <w:t>Establishment of a “Risk Reduction” Standard at Treas. Reg. §1.1221-2</w:t>
      </w:r>
    </w:p>
    <w:p>
      <w:pPr>
        <w:pStyle w:val="Normal"/>
        <w:tabs>
          <w:tab w:val="clear" w:pos="720"/>
          <w:tab w:val="left" w:pos="-576" w:leader="none"/>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suppressAutoHyphens w:val="true"/>
        <w:spacing w:before="0" w:after="240"/>
        <w:rPr/>
      </w:pPr>
      <w:r>
        <w:rPr/>
        <w:tab/>
        <w:t xml:space="preserve">The Current Regulations were issued in response to a 1993 Congressional directive to resolve uncertainties as to the proper tax character of business hedging transactions.  This uncertainty had been created by prior judicial decisions, including </w:t>
      </w:r>
      <w:r>
        <w:rPr>
          <w:i/>
        </w:rPr>
        <w:t>Arkansas Best</w:t>
      </w:r>
      <w:r>
        <w:rPr/>
        <w:t xml:space="preserve"> and </w:t>
      </w:r>
      <w:r>
        <w:rPr>
          <w:i/>
        </w:rPr>
        <w:t>FNMA</w:t>
      </w:r>
      <w:r>
        <w:rPr/>
        <w:t>.  This Congressional directive was included as part of the legislative history to the Tax Reform Act of 1993 with respect to Code §475, which established mandatory mark-to-market tax accounting rules for securities dealers.  Unfortunately, beyond directing Treasury to resolve the uncertainties regarding business hedging transactions, Congress failed to provide any further guidance or directives as to how the uncertainties should be resolved.</w:t>
      </w:r>
    </w:p>
    <w:p>
      <w:pPr>
        <w:pStyle w:val="Normal"/>
        <w:tabs>
          <w:tab w:val="clear" w:pos="720"/>
          <w:tab w:val="left" w:pos="-576" w:leader="none"/>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suppressAutoHyphens w:val="true"/>
        <w:spacing w:before="0" w:after="240"/>
        <w:rPr/>
      </w:pPr>
      <w:r>
        <w:rPr/>
        <w:tab/>
        <w:t>In response to this Congressional directive, the Treasury issued temporary and proposed hedging regulations in 1993.  These regulations, which were finalized in 1994 and 1996 as the Current Regulations, reversed the IRS’s prior litigating position against certain business hedges.</w:t>
      </w:r>
    </w:p>
    <w:p>
      <w:pPr>
        <w:pStyle w:val="Normal"/>
        <w:tabs>
          <w:tab w:val="clear" w:pos="720"/>
          <w:tab w:val="left" w:pos="-576" w:leader="none"/>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suppressAutoHyphens w:val="true"/>
        <w:spacing w:before="0" w:after="240"/>
        <w:rPr/>
      </w:pPr>
      <w:r>
        <w:rPr/>
        <w:tab/>
        <w:t xml:space="preserve">Under the Current Regulations, gains and losses from “qualifying” business hedging transactions are treated as ordinary, rather than capital.  The Current Regulations define a qualifying “hedging transaction” as a transaction that a taxpayer enters into in the normal course of its trade or business primarily (1) to </w:t>
      </w:r>
      <w:r>
        <w:rPr>
          <w:i/>
        </w:rPr>
        <w:t>reduce</w:t>
      </w:r>
      <w:r>
        <w:rPr/>
        <w:t xml:space="preserve"> the risk of price changes or currency fluctuations with respect to ordinary property that is held or to be held by the taxpayer, or (2) to </w:t>
      </w:r>
      <w:r>
        <w:rPr>
          <w:i/>
        </w:rPr>
        <w:t>reduce</w:t>
      </w:r>
      <w:r>
        <w:rPr/>
        <w:t xml:space="preserve"> the risk of interest rate or price changes or currency fluctuations with respect to borrowings made or to be made, or ordinary obligations incurred or to be incurred, by the taxpayer.</w:t>
      </w:r>
      <w:r>
        <w:rPr>
          <w:rStyle w:val="FootnoteCharacters"/>
          <w:rStyle w:val="FootnoteReference"/>
        </w:rPr>
        <w:footnoteReference w:id="13"/>
      </w:r>
    </w:p>
    <w:p>
      <w:pPr>
        <w:pStyle w:val="Normal"/>
        <w:tabs>
          <w:tab w:val="clear" w:pos="720"/>
          <w:tab w:val="left" w:pos="-576" w:leader="none"/>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suppressAutoHyphens w:val="true"/>
        <w:spacing w:before="0" w:after="240"/>
        <w:rPr/>
      </w:pPr>
      <w:r>
        <w:rPr/>
        <w:tab/>
        <w:t>In response to numerous taxpayer comments that the proposed risk reduction standard for qualifying hedging transactions was too narrow, the final version of the Current Regulations adopted “Rules of Application” at Treas. Reg. §1.1221</w:t>
        <w:noBreakHyphen/>
        <w:t>2(c), which were intended to define hedging transactions “reasonably and consistently” with the purposes of the regulations.  According to the preamble to the Current Regulations</w:t>
      </w:r>
      <w:r>
        <w:rPr>
          <w:color w:val="000000"/>
          <w:lang w:eastAsia="en-US"/>
        </w:rPr>
        <w:t xml:space="preserve">, the Rules of Application were adopted in response to public comments that the definition of a hedging transaction should be based on “risk management,” rather than “risk reduction.”  The preamble to the Current Regulations states that risk management was not adopted as the regulatory standard for a hedging transaction because the IRS and Treasury “believed” that the definition of a hedging transaction under Code §1256(e) “represents the best indication of Congressional intent with respect to business hedges.”  The Treasury went on to say in the Preamble to the Current Regulations that “[a]lthough the risk reduction standard has been retained, the final regulations provide </w:t>
      </w:r>
      <w:r>
        <w:rPr>
          <w:i/>
          <w:color w:val="000000"/>
          <w:lang w:eastAsia="en-US"/>
        </w:rPr>
        <w:t>rules of application</w:t>
      </w:r>
      <w:r>
        <w:rPr>
          <w:color w:val="000000"/>
          <w:lang w:eastAsia="en-US"/>
        </w:rPr>
        <w:t xml:space="preserve"> designed to ensure that the definition of hedging transactions is applied reasonably to include most common types of hedging transactions.”  (Emphasis added).</w:t>
      </w:r>
    </w:p>
    <w:p>
      <w:pPr>
        <w:pStyle w:val="Normal"/>
        <w:tabs>
          <w:tab w:val="clear" w:pos="720"/>
          <w:tab w:val="left" w:pos="-576" w:leader="none"/>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suppressAutoHyphens w:val="true"/>
        <w:spacing w:before="0" w:after="240"/>
        <w:rPr/>
      </w:pPr>
      <w:r>
        <w:rPr/>
        <w:tab/>
        <w:t>Under the Rules of Application, the determination of whether a transaction qualifies as a hedging transaction is based on all of the facts and circumstances surrounding the taxpayer’s business and the transaction.</w:t>
      </w:r>
      <w:r>
        <w:rPr>
          <w:rStyle w:val="FootnoteCharacters"/>
          <w:rStyle w:val="FootnoteReference"/>
        </w:rPr>
        <w:footnoteReference w:id="14"/>
      </w:r>
      <w:r>
        <w:rPr/>
        <w:t xml:space="preserve">  The Rules of Application include a number of specific situations where a transaction that might not otherwise satisfy the risk reduction standard of the Current Regulations may in any event qualify as a hedging transaction.  For example, the Rules of application identify certain risk increasing transactions, such as fixed-to-floating hedges, written options, and counteractive hedges, that may qualify as hedging transactions under the Current Regulations.  In essence, the Rules of Application were the first step toward a risk management standard.  Unfortunately, the Rules of Application set out in the Current Regulations are limited in scope because the Treasury believed that it was restricted to using a risk reduction approach for defining qualifying hedging transactions in the absence of any Congressional guidance on the appropriate standard.</w:t>
      </w:r>
    </w:p>
    <w:p>
      <w:pPr>
        <w:pStyle w:val="Normal"/>
        <w:tabs>
          <w:tab w:val="clear" w:pos="720"/>
          <w:tab w:val="left" w:pos="-576" w:leader="none"/>
          <w:tab w:val="left" w:pos="0" w:leader="none"/>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 w:val="left" w:pos="9216" w:leader="none"/>
        </w:tabs>
        <w:suppressAutoHyphens w:val="true"/>
        <w:spacing w:before="0" w:after="240"/>
        <w:rPr/>
      </w:pPr>
      <w:r>
        <w:rPr/>
        <w:tab/>
        <w:t>B.</w:t>
        <w:tab/>
        <w:t>Adoption of the Risk Management Standard at Code §1221(a)(7)</w:t>
      </w:r>
    </w:p>
    <w:p>
      <w:pPr>
        <w:pStyle w:val="Normal"/>
        <w:suppressAutoHyphens w:val="true"/>
        <w:spacing w:before="0" w:after="240"/>
        <w:rPr/>
      </w:pPr>
      <w:r>
        <w:rPr/>
        <w:tab/>
        <w:t xml:space="preserve">The 1999 Act added three new categories of ordinary assets to Code §1221:  </w:t>
      </w:r>
    </w:p>
    <w:p>
      <w:pPr>
        <w:pStyle w:val="Normal"/>
        <w:suppressAutoHyphens w:val="true"/>
        <w:ind w:hanging="720" w:start="1440" w:end="0"/>
        <w:rPr/>
      </w:pPr>
      <w:r>
        <w:rPr>
          <w:rFonts w:cs="Symbol" w:ascii="Symbol" w:hAnsi="Symbol"/>
        </w:rPr>
        <w:sym w:font="Symbol" w:char="f0b7"/>
      </w:r>
      <w:r>
        <w:rPr/>
        <w:tab/>
        <w:t>commodities derivative financial instruments held by a commodities derivatives dealer (Code §1221(a)(6));</w:t>
      </w:r>
    </w:p>
    <w:p>
      <w:pPr>
        <w:pStyle w:val="Normal"/>
        <w:suppressAutoHyphens w:val="true"/>
        <w:ind w:hanging="720" w:start="1440" w:end="0"/>
        <w:rPr/>
      </w:pPr>
      <w:r>
        <w:rPr>
          <w:rFonts w:cs="Symbol" w:ascii="Symbol" w:hAnsi="Symbol"/>
        </w:rPr>
        <w:sym w:font="Symbol" w:char="f0b7"/>
      </w:r>
      <w:r>
        <w:rPr/>
        <w:tab/>
        <w:t xml:space="preserve">hedging transactions (Code §1221(a)(7)); and </w:t>
      </w:r>
    </w:p>
    <w:p>
      <w:pPr>
        <w:pStyle w:val="Normal"/>
        <w:suppressAutoHyphens w:val="true"/>
        <w:ind w:hanging="720" w:start="1440" w:end="0"/>
        <w:rPr/>
      </w:pPr>
      <w:r>
        <w:rPr>
          <w:rFonts w:cs="Symbol" w:ascii="Symbol" w:hAnsi="Symbol"/>
        </w:rPr>
        <w:sym w:font="Symbol" w:char="f0b7"/>
      </w:r>
      <w:r>
        <w:rPr/>
        <w:tab/>
        <w:t>supplies (Code §1221(a)(8)).</w:t>
      </w:r>
    </w:p>
    <w:p>
      <w:pPr>
        <w:pStyle w:val="Normal"/>
        <w:suppressAutoHyphens w:val="true"/>
        <w:ind w:hanging="720" w:start="1440" w:end="0"/>
        <w:rPr/>
      </w:pPr>
      <w:r>
        <w:rPr/>
      </w:r>
    </w:p>
    <w:p>
      <w:pPr>
        <w:pStyle w:val="Bodytext1"/>
        <w:spacing w:lineRule="auto" w:line="240" w:before="0" w:after="240"/>
        <w:rPr/>
      </w:pPr>
      <w:r>
        <w:rPr>
          <w:rFonts w:cs="Times New Roman" w:ascii="Times New Roman" w:hAnsi="Times New Roman"/>
          <w:sz w:val="24"/>
        </w:rPr>
        <w:t>With the enactment of Code §1221(a)(7), a new risk management standard was adopted for business hedging transactions.</w:t>
      </w:r>
    </w:p>
    <w:p>
      <w:pPr>
        <w:pStyle w:val="Bodytext1"/>
        <w:spacing w:lineRule="auto" w:line="240" w:before="0" w:after="240"/>
        <w:rPr/>
      </w:pPr>
      <w:r>
        <w:rPr>
          <w:rFonts w:cs="Times New Roman" w:ascii="Times New Roman" w:hAnsi="Times New Roman"/>
          <w:sz w:val="24"/>
        </w:rPr>
        <w:tab/>
        <w:t xml:space="preserve">Code §1221(a)(7) effectively created a statutory exception to capital asset treatment for qualifying “hedging transactions,” defined at Code §1221(b)(2) in essentially the same manner as a hedging transaction had been defined in the Current Regulations, except for one </w:t>
      </w:r>
      <w:r>
        <w:rPr>
          <w:rFonts w:cs="Times New Roman" w:ascii="Times New Roman" w:hAnsi="Times New Roman"/>
          <w:i/>
          <w:sz w:val="24"/>
        </w:rPr>
        <w:t>critically</w:t>
      </w:r>
      <w:r>
        <w:rPr>
          <w:rFonts w:cs="Times New Roman" w:ascii="Times New Roman" w:hAnsi="Times New Roman"/>
          <w:sz w:val="24"/>
        </w:rPr>
        <w:t xml:space="preserve"> important and </w:t>
      </w:r>
      <w:r>
        <w:rPr>
          <w:rFonts w:cs="Times New Roman" w:ascii="Times New Roman" w:hAnsi="Times New Roman"/>
          <w:i/>
          <w:sz w:val="24"/>
        </w:rPr>
        <w:t xml:space="preserve">intentional </w:t>
      </w:r>
      <w:r>
        <w:rPr>
          <w:rFonts w:cs="Times New Roman" w:ascii="Times New Roman" w:hAnsi="Times New Roman"/>
          <w:sz w:val="24"/>
        </w:rPr>
        <w:t xml:space="preserve">change.  Under Code §1221(b)(2), a “hedging transaction” is defined as any transaction entered into by a taxpayer in the normal course of its trade or business primarily to </w:t>
      </w:r>
      <w:r>
        <w:rPr>
          <w:rFonts w:cs="Times New Roman" w:ascii="Times New Roman" w:hAnsi="Times New Roman"/>
          <w:i/>
          <w:sz w:val="24"/>
        </w:rPr>
        <w:t>manage</w:t>
      </w:r>
      <w:r>
        <w:rPr>
          <w:rFonts w:cs="Times New Roman" w:ascii="Times New Roman" w:hAnsi="Times New Roman"/>
          <w:sz w:val="24"/>
        </w:rPr>
        <w:t xml:space="preserve"> interest rate, price, or currency risks with respect to ordinary property, borrowings, or ordinary obligations.  Congress further expressed its intent to expand the categories of hedging transactions that qualify for ordinary gain or loss treatment by including Code §1221(b)(2)(iii), which authorizes the Treasury to issue regulations extending the definition of a “hedging transaction” to the management of such other risks as the Treasury prescribes in regulations.</w:t>
      </w:r>
    </w:p>
    <w:p>
      <w:pPr>
        <w:pStyle w:val="Normal"/>
        <w:suppressAutoHyphens w:val="true"/>
        <w:spacing w:before="0" w:after="240"/>
        <w:rPr/>
      </w:pPr>
      <w:r>
        <w:rPr/>
        <w:tab/>
        <w:t xml:space="preserve">The legislative history that accompanied enactment of Code §1221(a)(7) provides useful insights into the intentions of Congress in adopting a “risk management” standard for defining hedging transactions eligible for ordinary gain or loss treatment.  In this regard, the Conference Committee Report to the 1999 Act makes it clear that “the ‘risk reduction’ standard of the regulations is </w:t>
      </w:r>
      <w:r>
        <w:rPr>
          <w:i/>
        </w:rPr>
        <w:t>broadened</w:t>
      </w:r>
      <w:r>
        <w:rPr/>
        <w:t xml:space="preserve"> to ‘risk management’ with respect to ordinary property held (or to be held) or certain liabilities incurred (or to be incurred).”  (Emphasis added).</w:t>
      </w:r>
    </w:p>
    <w:p>
      <w:pPr>
        <w:pStyle w:val="Normal"/>
        <w:suppressAutoHyphens w:val="true"/>
        <w:spacing w:before="0" w:after="240"/>
        <w:rPr/>
      </w:pPr>
      <w:r>
        <w:rPr/>
        <w:tab/>
        <w:t>The Senate Finance Committee Report to the 1999 Act</w:t>
      </w:r>
      <w:r>
        <w:rPr>
          <w:color w:val="000000"/>
          <w:lang w:eastAsia="en-US"/>
        </w:rPr>
        <w:t xml:space="preserve"> further confirms Congress’ rejection of a risk reduction standard.  I</w:t>
      </w:r>
      <w:r>
        <w:rPr>
          <w:lang w:eastAsia="en-US"/>
        </w:rPr>
        <w:t>n addressing the reasons for the change, the Senate Finance Committee stated that Congress believed that a risk management standard “better describes modern business hedging practices that should be accorded ordinary character treatment.”  The Senate Finance Committee emphasized that it intended the risk management standard to apply to transactions entered into in the normal course of a taxpayer’s trade or business.</w:t>
      </w:r>
    </w:p>
    <w:p>
      <w:pPr>
        <w:pStyle w:val="Normal"/>
        <w:keepNext w:val="true"/>
        <w:suppressAutoHyphens w:val="true"/>
        <w:spacing w:before="0" w:after="240"/>
        <w:rPr/>
      </w:pPr>
      <w:r>
        <w:rPr/>
        <w:tab/>
        <w:t>C.</w:t>
        <w:tab/>
        <w:t>Commodities Derivative Financial Instruments at Code §1221(a)(6)</w:t>
      </w:r>
    </w:p>
    <w:p>
      <w:pPr>
        <w:pStyle w:val="BodyText"/>
        <w:ind w:hanging="0" w:end="0"/>
        <w:rPr/>
      </w:pPr>
      <w:r>
        <w:rPr/>
        <w:tab/>
        <w:t>In a companion provision to the statutory risk management standard for hedges at Code §1221(a)(7), Congress also adopted Code §1221(a)(6), which applies to commodity derivative financial instruments (“CDFIs”) held or entered into by a commodities derivative dealer (“CDD</w:t>
      </w:r>
      <w:r>
        <w:rPr>
          <w:lang w:eastAsia="en-US"/>
        </w:rPr>
        <w:t>”</w:t>
      </w:r>
      <w:r>
        <w:rPr/>
        <w:t>).</w:t>
      </w:r>
    </w:p>
    <w:p>
      <w:pPr>
        <w:pStyle w:val="BodyText"/>
        <w:ind w:hanging="0" w:end="0"/>
        <w:rPr/>
      </w:pPr>
      <w:r>
        <w:rPr/>
        <w:tab/>
        <w:t xml:space="preserve">Code §1221(a)(6) provides that </w:t>
      </w:r>
      <w:r>
        <w:rPr>
          <w:i/>
        </w:rPr>
        <w:t xml:space="preserve">any </w:t>
      </w:r>
      <w:r>
        <w:rPr/>
        <w:t xml:space="preserve">CDFI held by a CDD is treated as an ordinary asset.  This exemption is broadly stated.  If a taxpayer is a dealer in </w:t>
      </w:r>
      <w:r>
        <w:rPr>
          <w:i/>
        </w:rPr>
        <w:t>any</w:t>
      </w:r>
      <w:r>
        <w:rPr/>
        <w:t xml:space="preserve"> commodities derivatives, </w:t>
      </w:r>
      <w:r>
        <w:rPr>
          <w:i/>
        </w:rPr>
        <w:t>all</w:t>
      </w:r>
      <w:r>
        <w:rPr/>
        <w:t xml:space="preserve"> commodities derivatives it holds (or enters into) are ordinary assets without regard to whether they are entered into in a dealer capacity.</w:t>
      </w:r>
    </w:p>
    <w:p>
      <w:pPr>
        <w:pStyle w:val="BodyText"/>
        <w:ind w:hanging="0" w:end="0"/>
        <w:rPr/>
      </w:pPr>
      <w:r>
        <w:rPr/>
        <w:tab/>
        <w:t>For purposes of Code §1221(a)(6), a CDFI includes any contract or financial instrument with respect to commodities where its value or settlement price is calculated by (or determined by reference to) a specified index.  It includes swaps, caps, collars, floors, options, forward contracts, and similar contracts or instruments.  A CDFI does not, however, include section 1256 contracts.</w:t>
      </w:r>
      <w:r>
        <w:rPr>
          <w:rStyle w:val="FootnoteCharacters"/>
          <w:rStyle w:val="FootnoteReference"/>
        </w:rPr>
        <w:footnoteReference w:id="15"/>
      </w:r>
      <w:r>
        <w:rPr/>
        <w:t xml:space="preserve"> </w:t>
      </w:r>
    </w:p>
    <w:p>
      <w:pPr>
        <w:pStyle w:val="Normal"/>
        <w:suppressAutoHyphens w:val="true"/>
        <w:spacing w:before="0" w:after="240"/>
        <w:rPr/>
      </w:pPr>
      <w:r>
        <w:rPr>
          <w:lang w:eastAsia="en-US"/>
        </w:rPr>
        <w:tab/>
        <w:t xml:space="preserve">Enactment of Code </w:t>
      </w:r>
      <w:r>
        <w:rPr/>
        <w:t>§1221(a)(6), in conjunction with Code §1221(a)(7), demonstrates Congress’ clear intent to provide additional certainty with respect to the tax character of derivative transactions entered into by a taxpayer in the normal course of its trade or business.  The Senate Finance Committee Report accompanying the 1999 Act, in explaining the reasons for the adoption of Code §1221(a)(6), noted that, absent an election under Code §475, “the character of gains and losses” with respect to CDFIs entered into by such a CDD may be “unclear.”  The Senate Finance Committee stated it was concerned that this uncertainty (that is, the potential for capital treatment of CDFIs) “could inhibit commodities derivatives dealers from entering into transactions with respect to CDFIs that quality as ‘hedging transactions’ within the meaning of the Treasury Regulations under section 1221.”  The Senate Finance Committee went on to state that it believes that CDFIs are “integrally related to the ordinary course of the trade or business of commodities derivatives dealers and, therefore, such assets should be treated as ordinary assets.”</w:t>
      </w:r>
    </w:p>
    <w:p>
      <w:pPr>
        <w:pStyle w:val="Normal"/>
        <w:suppressAutoHyphens w:val="true"/>
        <w:spacing w:before="0" w:after="240"/>
        <w:rPr/>
      </w:pPr>
      <w:r>
        <w:rPr/>
        <w:tab/>
        <w:t>We believe that the intention of Congress in trying to further resolve the tax character uncertainties relating to derivative transactions that are “integrally related” to the ordinary course of a taxpayer’s trade or business also extends to Code §1221(a)(7) and the expanded definition of qualifying hedging transactions that includes risk management transactions.  In other words, a risk management transaction that is “integrally related” to the ordinary course of a taxpayer’s trade or business should be treated as a qualifying hedging transaction eligible for ordinary gain or loss treatment under Code §1221(a)(7).</w:t>
      </w:r>
    </w:p>
    <w:p>
      <w:pPr>
        <w:pStyle w:val="Normal"/>
        <w:suppressAutoHyphens w:val="true"/>
        <w:spacing w:before="0" w:after="240"/>
        <w:rPr>
          <w:lang w:eastAsia="en-US"/>
        </w:rPr>
      </w:pPr>
      <w:r>
        <w:rPr>
          <w:lang w:eastAsia="en-US"/>
        </w:rPr>
        <w:tab/>
        <w:t>D.</w:t>
        <w:tab/>
        <w:t>The Proposed Regulations</w:t>
      </w:r>
    </w:p>
    <w:p>
      <w:pPr>
        <w:pStyle w:val="Normal"/>
        <w:suppressAutoHyphens w:val="true"/>
        <w:spacing w:before="0" w:after="240"/>
        <w:rPr/>
      </w:pPr>
      <w:r>
        <w:rPr/>
        <w:tab/>
        <w:t>The legislative history to the 1999 Act makes it clear that Congress intended that the definition of a hedging transaction under Code §§1221(a)(7) and 1221(b)(2) would be “broadened</w:t>
      </w:r>
      <w:r>
        <w:rPr>
          <w:lang w:eastAsia="en-US"/>
        </w:rPr>
        <w:t>”</w:t>
      </w:r>
      <w:r>
        <w:rPr/>
        <w:t xml:space="preserve"> from risk reduction to risk management.  It did not intend for risk “management</w:t>
      </w:r>
      <w:r>
        <w:rPr>
          <w:lang w:eastAsia="en-US"/>
        </w:rPr>
        <w:t>”</w:t>
      </w:r>
      <w:r>
        <w:rPr/>
        <w:t xml:space="preserve"> to be defined as risk “reduction</w:t>
      </w:r>
      <w:r>
        <w:rPr>
          <w:lang w:eastAsia="en-US"/>
        </w:rPr>
        <w:t>”</w:t>
      </w:r>
      <w:r>
        <w:rPr/>
        <w:t xml:space="preserve"> as under the Current Regulations.  Unfortunately, the Proposed Regulations do not reflect Congress’ intent.  It is not appropriate to substitute, as the Treasury has proposed, “risk management” for “risk reduction” in select places, while retaining the risk reduction standard in critical parts of the Proposed Regulations.</w:t>
      </w:r>
    </w:p>
    <w:p>
      <w:pPr>
        <w:pStyle w:val="Normal"/>
        <w:suppressAutoHyphens w:val="true"/>
        <w:spacing w:before="0" w:after="240"/>
        <w:rPr/>
      </w:pPr>
      <w:r>
        <w:rPr/>
        <w:tab/>
        <w:t xml:space="preserve">As the Treasury acknowledges in the Preamble to the Proposed Regulations, the Rules of Application at Prop. Treas. Reg. §1.1221-2(c) are critical in addressing the scope of qualifying hedging transactions.  In the Preamble, the Treasury stated that “except as otherwise provided” in the Rules of Application, “a transaction satisfies the risk management standard if it </w:t>
      </w:r>
      <w:r>
        <w:rPr>
          <w:i/>
        </w:rPr>
        <w:t>reduces</w:t>
      </w:r>
      <w:r>
        <w:rPr/>
        <w:t xml:space="preserve"> risk.”  (Emphasis added).  Unfortunately, the Rules of Application attempt to back away from risk management by continuing to apply the risk reduction standard from the Current Regulations.  Specifically, Prop. Treas. Reg. §1.1221-2(c)(1)(vii) states that “[a] transaction that is not entered into to </w:t>
      </w:r>
      <w:r>
        <w:rPr>
          <w:i/>
        </w:rPr>
        <w:t>reduce</w:t>
      </w:r>
      <w:r>
        <w:rPr/>
        <w:t xml:space="preserve"> a taxpayer’s risk </w:t>
      </w:r>
      <w:r>
        <w:rPr>
          <w:i/>
        </w:rPr>
        <w:t>does not manage risk</w:t>
      </w:r>
      <w:r>
        <w:rPr/>
        <w:t>.”  (Emphasis added).  In our view, this approach is deficient and inappropriate because it fails to implement the Congressional intent in adopting a “risk management” standard.</w:t>
      </w:r>
    </w:p>
    <w:p>
      <w:pPr>
        <w:pStyle w:val="Normal"/>
        <w:suppressAutoHyphens w:val="true"/>
        <w:spacing w:before="0" w:after="240"/>
        <w:rPr/>
      </w:pPr>
      <w:r>
        <w:rPr/>
        <w:tab/>
        <w:t xml:space="preserve">Another critical oversight in the Proposed Regulations is with respect to “micro and macro hedges” at Prop. Treas. Reg. §1.1221-2(c)(1)(ii).  Here, the Proposed Regulations improperly rely on the risk reduction standard of the Current Regulations by stating that “[i]f a taxpayer hedges particular assets or liabilities, or groups of assets or liabilities, and the hedges are undertaken as part of a program that, as a whole, is reasonably expected to </w:t>
      </w:r>
      <w:r>
        <w:rPr>
          <w:i/>
        </w:rPr>
        <w:t>reduce</w:t>
      </w:r>
      <w:r>
        <w:rPr/>
        <w:t xml:space="preserve"> the overall risk of the taxpayer’s operations, the taxpayer generally does not have to demonstrate that each hedge entered into pursuant to the program </w:t>
      </w:r>
      <w:r>
        <w:rPr>
          <w:i/>
        </w:rPr>
        <w:t>reduces</w:t>
      </w:r>
      <w:r>
        <w:rPr/>
        <w:t xml:space="preserve"> its overall risk.”  (Emphasis added).  This imposition of a risk reduction standard for aggregate hedging activities is totally inappropriate because Congress specifically rejected “risk reduction” when it adopted the statutory “risk management” standard in Code §1221(b)(2).</w:t>
      </w:r>
    </w:p>
    <w:p>
      <w:pPr>
        <w:pStyle w:val="Normal"/>
        <w:suppressAutoHyphens w:val="true"/>
        <w:spacing w:before="0" w:after="240"/>
        <w:rPr/>
      </w:pPr>
      <w:r>
        <w:rPr/>
        <w:tab/>
        <w:t>Based on the clear Congressional mandate to expand the scope of qualifying hedging transactions, we believe the Treasury does not have the authority to impose a “risk reduction” standard in evaluating the qualification of a hedging transaction under Code §1221(a)(7).  The Proposed Regulations must be conformed throughout to replace “risk reduction” with the Congressionally mandated standard of “risk management.”  Once that is done, the next step is to provide useful guidance on the meaning of risk management in this context.</w:t>
      </w:r>
    </w:p>
    <w:p>
      <w:pPr>
        <w:pStyle w:val="Normal"/>
        <w:keepNext w:val="true"/>
        <w:suppressAutoHyphens w:val="true"/>
        <w:spacing w:before="0" w:after="240"/>
        <w:rPr/>
      </w:pPr>
      <w:r>
        <w:rPr/>
        <w:t>II.</w:t>
        <w:tab/>
        <w:t>Application of the Risk Management Standard to Dealers in Commodities</w:t>
      </w:r>
    </w:p>
    <w:p>
      <w:pPr>
        <w:pStyle w:val="Normal"/>
        <w:suppressAutoHyphens w:val="true"/>
        <w:spacing w:before="0" w:after="240"/>
        <w:rPr/>
      </w:pPr>
      <w:r>
        <w:rPr/>
        <w:tab/>
        <w:t xml:space="preserve">In this section of our letter, we address how the statutory risk management standard should be applied to Dealers in Commodities.  First, we provide a brief overview of the business activities of Dealers in Commodities.  Next, we describe our recommended Rule of Application for Dealers in Commodities.  Under this proposed Rule of Application for Dealers in Commodities, any </w:t>
      </w:r>
      <w:r>
        <w:rPr>
          <w:u w:val="single"/>
        </w:rPr>
        <w:t>non-dealer</w:t>
      </w:r>
      <w:r>
        <w:rPr/>
        <w:t xml:space="preserve"> commodities derivative transaction that is entered into within pre-approved Position Limits set out in a formally adopted Risk Management Program would qualify as a risk management transaction under Code §§1221(a)(7) and 1221(b)(2).  Finally, we address why a formally adopted Risk Management Program that includes pre-approved Position Limits provides acceptable controls that can be used to ensure that transactions entered into within such Position Limits should be considered qualifying risk management transactions for purposes of Code §§1221(a)(7) and 1221(b)(2).</w:t>
      </w:r>
    </w:p>
    <w:p>
      <w:pPr>
        <w:pStyle w:val="Normal"/>
        <w:keepNext w:val="true"/>
        <w:spacing w:before="0" w:after="240"/>
        <w:rPr/>
      </w:pPr>
      <w:r>
        <w:rPr/>
        <w:tab/>
        <w:t>A.</w:t>
        <w:tab/>
        <w:t>Dealers in Commodities</w:t>
      </w:r>
    </w:p>
    <w:p>
      <w:pPr>
        <w:pStyle w:val="Normal"/>
        <w:keepNext w:val="true"/>
        <w:spacing w:before="0" w:after="240"/>
        <w:rPr/>
      </w:pPr>
      <w:r>
        <w:rPr/>
        <w:tab/>
        <w:t>Dealers in Commodities view the transactions they enter into in the normal course of business in a way that does not differentiate between alternative forms of commodities transactions.  They base their trading decisions solely on the economic and trading opportunities available with respect to each position.  In other words,  a Dealer in Commodities might choose to enter into a derivatives contract rather than a physical commodity contract (or vice versa), or an over-the-counter (“OTC</w:t>
      </w:r>
      <w:r>
        <w:rPr>
          <w:lang w:eastAsia="en-US"/>
        </w:rPr>
        <w:t>”</w:t>
      </w:r>
      <w:r>
        <w:rPr/>
        <w:t>) derivative rather than an exchange-traded derivative (or vice versa), solely for reasons of convenience, liquidity, pricing, delivery terms, ease of settlement, margin requirements, basis relationships with existing positions, and customer requirements.</w:t>
      </w:r>
    </w:p>
    <w:p>
      <w:pPr>
        <w:pStyle w:val="Normal"/>
        <w:spacing w:before="0" w:after="240"/>
        <w:rPr/>
      </w:pPr>
      <w:r>
        <w:rPr/>
        <w:tab/>
        <w:t>Dealers in Commodities routinely enter into OTC derivatives, as well as exchange-traded futures and options on futures (which are “section 1256 contracts</w:t>
      </w:r>
      <w:r>
        <w:rPr>
          <w:lang w:eastAsia="en-US"/>
        </w:rPr>
        <w:t>”</w:t>
      </w:r>
      <w:r>
        <w:rPr/>
        <w:t xml:space="preserve"> for tax purposes).  Such positions may be entered into to provide liquidity to the markets (that is, to perform a dealer or market maker function), for risk management purposes, or for speculative (investment) purposes.</w:t>
      </w:r>
    </w:p>
    <w:p>
      <w:pPr>
        <w:pStyle w:val="Normal"/>
        <w:spacing w:before="0" w:after="240"/>
        <w:rPr/>
      </w:pPr>
      <w:r>
        <w:rPr/>
        <w:tab/>
        <w:t>Dealers in Commodities provide liquidity to the commodities markets by standing ready, willing and able to enter into long and short commodities transactions.  Providing liquidity to the commodities markets is accomplished by entering into physical and OTC commodity derivatives directly with customers, as well as by being willing to enter into long and short exchange-traded positions.  Dealers in Commodities perform an important market maker function by being willing and able to enter into exchange-traded commodities positions from time to time.  In fact, if Dealers in Commodities were not willing to enter into exchange-traded commodities derivatives as often as they do, the physical and OTC financial commodities markets would not function as efficiently as they do currently.</w:t>
      </w:r>
    </w:p>
    <w:p>
      <w:pPr>
        <w:pStyle w:val="Normal"/>
        <w:spacing w:before="0" w:after="240"/>
        <w:rPr/>
      </w:pPr>
      <w:r>
        <w:rPr/>
        <w:tab/>
        <w:t>Dealers in Commodities should be allowed to enter into commodities derivative transactions in the normal course of business without regard to tax character distinctions that are based simply on the form of the transaction.  Unfortunately, the tax characterization of commodities transactions entered into by Dealers in Commodities can vary, depending on the types of transactions entered into.</w:t>
      </w:r>
    </w:p>
    <w:p>
      <w:pPr>
        <w:pStyle w:val="Normal"/>
        <w:spacing w:before="0" w:after="240"/>
        <w:rPr/>
      </w:pPr>
      <w:r>
        <w:rPr/>
        <w:tab/>
        <w:t>For example, under Code §1221(a)(1), Dealers in Commodities are eligible for ordinary income and loss treatment with respect to their physical commodities transactions.  OTC commodities derivatives entered into by Dealer in Commodities are generally eligible for ordinary income or loss under the tax rules that apply to such financial products,</w:t>
      </w:r>
      <w:r>
        <w:rPr>
          <w:rStyle w:val="FootnoteCharacters"/>
          <w:rStyle w:val="FootnoteReference"/>
        </w:rPr>
        <w:footnoteReference w:id="16"/>
      </w:r>
      <w:r>
        <w:rPr/>
        <w:t xml:space="preserve"> or under Code §1221(a)(6) if the taxpayer is a CDD.  Section 1256 contracts, however, are subject to their own tax character rules that do not look to the character of the underlying property in the hands of the taxpayer.  In addition, for purposes of Code §1221(a)(6), section 1256 contracts are not included in the definition of a CDFI.  This means that section 1256 contracts entered into by Dealers in Commodities are eligible for ordinary income or loss treatment only if they qualify as “hedging transactions</w:t>
      </w:r>
      <w:r>
        <w:rPr>
          <w:lang w:eastAsia="en-US"/>
        </w:rPr>
        <w:t>”</w:t>
      </w:r>
      <w:r>
        <w:rPr/>
        <w:t xml:space="preserve"> under Code §§1221(a)(7) and 1221(b)(2), or if an election is made under the mark-to-market rules of Code §§475(e) and 475(f).</w:t>
      </w:r>
    </w:p>
    <w:p>
      <w:pPr>
        <w:pStyle w:val="Normal"/>
        <w:spacing w:before="0" w:after="240"/>
        <w:rPr/>
      </w:pPr>
      <w:r>
        <w:rPr/>
        <w:tab/>
        <w:t>B.</w:t>
        <w:tab/>
        <w:t xml:space="preserve">Recommended Rule of Application for Risk Management Transactions for </w:t>
        <w:tab/>
        <w:tab/>
        <w:t>Dealers in Commodities</w:t>
      </w:r>
    </w:p>
    <w:p>
      <w:pPr>
        <w:pStyle w:val="Normal"/>
        <w:spacing w:before="0" w:after="240"/>
        <w:rPr/>
      </w:pPr>
      <w:r>
        <w:rPr/>
        <w:tab/>
        <w:t>Dealers in Commodities must have certainty that the commodities derivatives they enter into in the normal course of business for risk management purposes qualify as “hedging transactions</w:t>
      </w:r>
      <w:r>
        <w:rPr>
          <w:lang w:eastAsia="en-US"/>
        </w:rPr>
        <w:t>”</w:t>
      </w:r>
      <w:r>
        <w:rPr/>
        <w:t xml:space="preserve"> under Code §1221(a)(7).  Without this certainty, Dealers in Commodities must make difficult--if not impossible--choices under Code §1221(a)(7), especially with respect to section 1256 contracts.  If a Dealer in Commodities identifies its section 1256 contract positions as qualified tax hedges (on the assumption that such positions satisfy the requisite risk management standard), and tax hedging treatment is ultimately determined not to be available, the dealer’s hedging program could be picked apart, resulting in a character whipsaw (ordinary income and capital losses) being imposed on those positions determined to be capital.  On the other hand, if a Dealer in Commodities does not identify its section 1256 contract positions as qualified hedges (based on uncertainty over the scope and meaning of the risk management standard), and tax hedging treatment is ultimately determined to be available, again the dealer’s hedging program could be picked apart, resulting in a character whipsaw being imposed on those positions treated as qualifying risk management transactions that were not properly identified as such. </w:t>
      </w:r>
    </w:p>
    <w:p>
      <w:pPr>
        <w:pStyle w:val="Normal"/>
        <w:spacing w:before="0" w:after="240"/>
        <w:rPr/>
      </w:pPr>
      <w:r>
        <w:rPr/>
        <w:tab/>
        <w:t>We believe that Congress, in adopting both Code §1221(a)(7) and Code §1221(a)(6), clearly intended to provide assurances that derivative transactions entered into in the ordinary course of a taxpayer’s trade or business result in ordinary gains or losses. Consistent with the Senate Finance Committee’s concern regarding CDFIs (as expressed in the legislative history to Code §1221(a)(6)), the tax laws should not inhibit or discourage Dealers in Commodities from entering into certain kinds of commodities derivative transactions (namely, section 1256 contracts) in the ordinary course due to uncertainties surrounding the appropriate tax characterization of such transactions.  Regulations consistent with this Congressional intent are needed to assure that commodities derivatives (including section 1256 contracts) entered into by a Dealer in Commodities in the ordinary course of its trade or business qualify as “hedging transactions</w:t>
      </w:r>
      <w:r>
        <w:rPr>
          <w:lang w:eastAsia="en-US"/>
        </w:rPr>
        <w:t>”</w:t>
      </w:r>
      <w:r>
        <w:rPr/>
        <w:t xml:space="preserve"> under Code §1221(a)(7).</w:t>
      </w:r>
    </w:p>
    <w:p>
      <w:pPr>
        <w:pStyle w:val="Normal"/>
        <w:spacing w:before="0" w:after="240"/>
        <w:rPr/>
      </w:pPr>
      <w:r>
        <w:rPr/>
        <w:tab/>
        <w:t>We believe that commodities derivatives entered into by a Dealer in Commodities within the pre-approved Position Limits set out in its Risk Management Program, by definition, represent “risk management” transactions of the type intended by Congress to qualify as hedging transactions within the meaning of Code §§1221(a)(7) and 1221(b)(2).  Confirming that commodities derivatives entered into by a Dealer in Commodities in accordance with its pre-approved Position Limits qualify as hedging transactions will, in addition to providing much needed certainty with respect to the tax character of such transactions, also mean that such derivatives will be accounted for under the “clear reflection of income” matching principles of Treas. Reg. §1.446-4.  As a result, the potential for timing mismatches with respect to such “risk management</w:t>
      </w:r>
      <w:r>
        <w:rPr>
          <w:lang w:eastAsia="en-US"/>
        </w:rPr>
        <w:t>”</w:t>
      </w:r>
      <w:r>
        <w:rPr/>
        <w:t xml:space="preserve"> activities would be minimized.</w:t>
      </w:r>
    </w:p>
    <w:p>
      <w:pPr>
        <w:pStyle w:val="Normal"/>
        <w:spacing w:before="0" w:after="240"/>
        <w:rPr/>
      </w:pPr>
      <w:r>
        <w:rPr/>
        <w:tab/>
        <w:t>As indicated above, a Dealer in Commodities views all transactions entered into within its pre-approved Position Limits as part of the normal course of its business as a commodities dealer.  As such, a Dealer in Commodities effectively defines its “risk management” activities to automatically include any transactions entered into within its pre-approved Position Limits. Depending on the facts of a particular situation, transactions entered into outside of such pre-approved Position Limits may or may not qualify as “risk management</w:t>
      </w:r>
      <w:r>
        <w:rPr>
          <w:lang w:eastAsia="en-US"/>
        </w:rPr>
        <w:t>”</w:t>
      </w:r>
      <w:r>
        <w:rPr/>
        <w:t xml:space="preserve"> transactions for purposes of Code §1221(a)(7), depending on the surrounding facts and circumstances.</w:t>
      </w:r>
    </w:p>
    <w:p>
      <w:pPr>
        <w:pStyle w:val="Normal"/>
        <w:spacing w:before="0" w:after="240"/>
        <w:rPr/>
      </w:pPr>
      <w:r>
        <w:rPr/>
        <w:tab/>
        <w:t>We urge the Treasury to expand the Rules of Application set out in the Proposed Regulations to confirm that the risk management activities of a Dealer in Commodities--as defined by the pre-approved Position Limits set out in its Risk Management Program--qualify as “hedging transactions</w:t>
      </w:r>
      <w:r>
        <w:rPr>
          <w:lang w:eastAsia="en-US"/>
        </w:rPr>
        <w:t>”</w:t>
      </w:r>
      <w:r>
        <w:rPr/>
        <w:t xml:space="preserve"> for purposes of Code §§1221(a)(7) and 1221(b)(2).  Specifically, we recommend that the Rules of Application provide that all commodities derivatives, whether exchange-traded or OTC, entered into by the Dealer in Commodities in the normal course of its business, qualify as risk management transactions for purposes of Code §1221(a)(7) if three conditions are met:</w:t>
      </w:r>
    </w:p>
    <w:p>
      <w:pPr>
        <w:pStyle w:val="Normal"/>
        <w:spacing w:before="0" w:after="240"/>
        <w:ind w:hanging="720" w:start="1440" w:end="0"/>
        <w:rPr/>
      </w:pPr>
      <w:r>
        <w:rPr>
          <w:rFonts w:cs="Symbol" w:ascii="Symbol" w:hAnsi="Symbol"/>
        </w:rPr>
        <w:sym w:font="Symbol" w:char="f0b7"/>
      </w:r>
      <w:r>
        <w:rPr/>
        <w:tab/>
        <w:t xml:space="preserve">First, the risk management transaction must be in a derivative for which the value or the settlement price is based on, or determined by reference to, the value of a commodity in which the Dealer in Commodities acts as dealer. </w:t>
      </w:r>
    </w:p>
    <w:p>
      <w:pPr>
        <w:pStyle w:val="Normal"/>
        <w:spacing w:before="0" w:after="240"/>
        <w:ind w:hanging="720" w:start="1440" w:end="0"/>
        <w:rPr/>
      </w:pPr>
      <w:r>
        <w:rPr>
          <w:rFonts w:cs="Symbol" w:ascii="Symbol" w:hAnsi="Symbol"/>
        </w:rPr>
        <w:sym w:font="Symbol" w:char="f0b7"/>
      </w:r>
      <w:r>
        <w:rPr/>
        <w:tab/>
        <w:t xml:space="preserve">Second, the transactions must have been entered into in accordance with the formally adopted risk management policies established by the Dealer in Commodities’ senior management, that is, its Risk Management Program.  </w:t>
      </w:r>
    </w:p>
    <w:p>
      <w:pPr>
        <w:pStyle w:val="Normal"/>
        <w:spacing w:before="0" w:after="240"/>
        <w:ind w:hanging="720" w:start="1440" w:end="0"/>
        <w:rPr/>
      </w:pPr>
      <w:r>
        <w:rPr>
          <w:rFonts w:cs="Symbol" w:ascii="Symbol" w:hAnsi="Symbol"/>
        </w:rPr>
        <w:sym w:font="Symbol" w:char="f0b7"/>
      </w:r>
      <w:r>
        <w:rPr/>
        <w:tab/>
        <w:t>Third, the risk management transactions must not have been identified by the Dealer in Commodities as transactions entered into in a dealer capacity.</w:t>
      </w:r>
      <w:r>
        <w:rPr>
          <w:rStyle w:val="FootnoteCharacters"/>
          <w:rStyle w:val="FootnoteReference"/>
        </w:rPr>
        <w:footnoteReference w:id="17"/>
      </w:r>
    </w:p>
    <w:p>
      <w:pPr>
        <w:pStyle w:val="Normal"/>
        <w:suppressAutoHyphens w:val="true"/>
        <w:spacing w:before="0" w:after="240"/>
        <w:ind w:firstLine="720" w:end="0"/>
        <w:rPr/>
      </w:pPr>
      <w:r>
        <w:rPr/>
        <w:t>This Rule of Application can apply to Dealers in Commodities in a way that avoids creating an overly expansive definition of risk management.  It also acknowledges that “risk management</w:t>
      </w:r>
      <w:r>
        <w:rPr>
          <w:lang w:eastAsia="en-US"/>
        </w:rPr>
        <w:t>”</w:t>
      </w:r>
      <w:r>
        <w:rPr/>
        <w:t xml:space="preserve"> is a concept that the senior management of one Dealer in Commodities will view differently from the senior management of another Dealer in Commodities.  In other words, the appropriateness of risk tolerances and risk management techniques will vary from one Dealer in Commodities to another.  As a result, our recommended approach allows each Dealer in Commodities to determine its acceptable level of risk tolerances and its risk management activities in accordance with formally adopted risk management policies established by its senior management.</w:t>
      </w:r>
    </w:p>
    <w:p>
      <w:pPr>
        <w:pStyle w:val="Normal"/>
        <w:suppressAutoHyphens w:val="true"/>
        <w:spacing w:before="0" w:after="240"/>
        <w:ind w:firstLine="720" w:end="0"/>
        <w:rPr/>
      </w:pPr>
      <w:r>
        <w:rPr/>
        <w:t>Unfortunately, the Proposed Regulations do not address this important issue.  As drafted, the Proposed Regulations would leave a Dealer in Commodities with an unjustifiably capricious tax result that has no public policy basis or value.  As a result, we believe that the Rules of Application at Prop. Treas. Reg. §1.1221-2(c) should be amended to adopt a Rule of Application for Dealers in Commodities.  We have set out at Appendix A to this letter a draft of proposed regulatory language addressing the risk management standard for Dealers in Commodities.  We encourage the Treasury to incorporate this provision in the final version of regulations relating to Code §§1221(a)(7) and 1221(b)(2).</w:t>
      </w:r>
    </w:p>
    <w:p>
      <w:pPr>
        <w:pStyle w:val="Normal"/>
        <w:keepNext w:val="true"/>
        <w:suppressAutoHyphens w:val="true"/>
        <w:spacing w:before="0" w:after="240"/>
        <w:rPr/>
      </w:pPr>
      <w:r>
        <w:rPr/>
        <w:tab/>
        <w:t>C.</w:t>
        <w:tab/>
        <w:t>Risk Management Programs for Dealers in Commodities</w:t>
      </w:r>
    </w:p>
    <w:p>
      <w:pPr>
        <w:pStyle w:val="Normal"/>
        <w:suppressAutoHyphens w:val="true"/>
        <w:spacing w:before="0" w:after="240"/>
        <w:rPr/>
      </w:pPr>
      <w:r>
        <w:rPr/>
        <w:tab/>
        <w:tab/>
        <w:t>1.  Similar to Programs for Aggregate Hedgers</w:t>
      </w:r>
    </w:p>
    <w:p>
      <w:pPr>
        <w:pStyle w:val="Normal"/>
        <w:suppressAutoHyphens w:val="true"/>
        <w:spacing w:before="0" w:after="240"/>
        <w:ind w:firstLine="720" w:end="0"/>
        <w:rPr/>
      </w:pPr>
      <w:r>
        <w:rPr/>
        <w:t>As described above, a Dealer in Commodities that maintains a formally adopted Risk Management Program that establishes pre-approved Position Limits should receive ordinary income or loss treatment for all “risk management derivatives” entered into in the normal course of their businesses as Dealers in Commodities if the transactions are entered into within the pre-established Position Limits set out in its Risk Management Program.  Transactions entered into outside of any such pre-approved Position Limits may or may not be a “risk management</w:t>
      </w:r>
      <w:r>
        <w:rPr>
          <w:lang w:eastAsia="en-US"/>
        </w:rPr>
        <w:t>”</w:t>
      </w:r>
      <w:r>
        <w:rPr/>
        <w:t xml:space="preserve"> transactions, depending on the facts of the particular situation.</w:t>
      </w:r>
    </w:p>
    <w:p>
      <w:pPr>
        <w:pStyle w:val="Normal"/>
        <w:suppressAutoHyphens w:val="true"/>
        <w:spacing w:before="0" w:after="240"/>
        <w:ind w:firstLine="720" w:end="0"/>
        <w:rPr/>
      </w:pPr>
      <w:r>
        <w:rPr/>
        <w:t>Just as it is assumed in the Current and Proposed Regulations that all derivative transactions entered into by an aggregate hedger that are consistent with the hedger’s aggregate hedging program meet the tax character requirements, so too should a Dealer in Commodities be able to obtain risk management characterization for derivatives transactions entered into in a manner consistent with its Risk Management Program.</w:t>
      </w:r>
    </w:p>
    <w:p>
      <w:pPr>
        <w:pStyle w:val="Normal"/>
        <w:suppressAutoHyphens w:val="true"/>
        <w:spacing w:before="0" w:after="240"/>
        <w:ind w:firstLine="720" w:end="0"/>
        <w:rPr/>
      </w:pPr>
      <w:r>
        <w:rPr/>
        <w:t xml:space="preserve">Under the Current and Proposed Regulations, an aggregate hedger need not demonstrate that each transaction that it enters into “manages” its overall risk, if the transaction was entered into pursuant to an aggregate hedging program that meets the requirements set out in the Current and Proposed Regulations.  For identification purposes, aggregate hedges must include a description of the risks being hedged and the hedging program under which the transaction is entered into.  Treas. Reg. §1.1221-2(e)(3)(iv) provides that an aggregate hedging program must include: (1) identification of the type of risk being hedged; (2) a description of the types of items giving rise to the risks being aggregated; (3) sufficient additional information to demonstrate that the program is designed to reduce aggregate risk of the type identified; and (4) if it contains controls on speculation (for example, position limits) the description of the hedging program must explain how the controls are established, communicated, implemented, and enforced.  </w:t>
      </w:r>
    </w:p>
    <w:p>
      <w:pPr>
        <w:pStyle w:val="Normal"/>
        <w:suppressAutoHyphens w:val="true"/>
        <w:spacing w:before="0" w:after="240"/>
        <w:ind w:firstLine="720" w:end="0"/>
        <w:rPr/>
      </w:pPr>
      <w:r>
        <w:rPr/>
        <w:t>In addition to these identification requirements, aggregate hedgers must also comply with the hedge timing requirements.  This means that aggregate hedges and the aggregate risk being hedged must be accounted for by the aggregate hedger in a manner that clearly reflects income.</w:t>
      </w:r>
      <w:r>
        <w:rPr>
          <w:rStyle w:val="FootnoteCharacters"/>
          <w:rStyle w:val="FootnoteReference"/>
        </w:rPr>
        <w:footnoteReference w:id="18"/>
      </w:r>
      <w:r>
        <w:rPr/>
        <w:t xml:space="preserve">  Classifying non-dealer commodities derivatives entered into by a Dealer in Commodities in accordance with its pre-approved Position Limits as risk management transactions that qualify “hedging transactions</w:t>
      </w:r>
      <w:r>
        <w:rPr>
          <w:lang w:eastAsia="en-US"/>
        </w:rPr>
        <w:t>”</w:t>
      </w:r>
      <w:r>
        <w:rPr/>
        <w:t xml:space="preserve"> under Code §1221(a)(7) will, in addition to providing much needed consistency with respect to the tax character of such transactions, also mean that all such derivatives will be accounted for under a hedge method of tax accounting that complies with Treas. Reg. §1.446-4.  As a result, the potential for timing mismatches with respect to “risk management</w:t>
      </w:r>
      <w:r>
        <w:rPr>
          <w:lang w:eastAsia="en-US"/>
        </w:rPr>
        <w:t>”</w:t>
      </w:r>
      <w:r>
        <w:rPr/>
        <w:t xml:space="preserve"> transactions can be minimized.</w:t>
      </w:r>
    </w:p>
    <w:p>
      <w:pPr>
        <w:pStyle w:val="Normal"/>
        <w:suppressAutoHyphens w:val="true"/>
        <w:spacing w:before="0" w:after="240"/>
        <w:ind w:firstLine="720" w:end="0"/>
        <w:rPr/>
      </w:pPr>
      <w:r>
        <w:rPr/>
        <w:t xml:space="preserve">Dealers in Commodities should likewise be able to obtain the tax neutrality that is available to an aggregate hedger under the Current and Proposed Regulations.  In other words, to the extent a Dealer in Commodities establishes a formal Risk Management Program setting out its pre-approved Position Limits, such dealer should not be required to demonstrate that each non-dealer commodities derivative contract entered into within such Position Limits “manages” its overall risk.  </w:t>
      </w:r>
    </w:p>
    <w:p>
      <w:pPr>
        <w:pStyle w:val="Normal"/>
        <w:suppressAutoHyphens w:val="true"/>
        <w:spacing w:before="0" w:after="240"/>
        <w:ind w:firstLine="720" w:end="0"/>
        <w:rPr/>
      </w:pPr>
      <w:r>
        <w:rPr/>
        <w:t>We believe that a Risk Management Program of a Dealer in Commodities, to qualify as a “program” of the sort eligible to cover risk management transactions of Dealers in Commodities, must include controls similar to those established under the Current and Proposed Regulations for aggregate hedging programs.  These controls include (1) an identification of the types of risks being managed by the taxpayer; (2) a description of the types of items giving rise to the risks being managed; (3) sufficient additional information to demonstrate that the risk management program is designed to control or maintain risk of the type identified in accordance with the risk parameters set out in a formal risk management policy statement approved by the taxpayer’s senior management; and (4) controls on speculation (for example, position limits), with an explanation as to how these controls are established, communicated, implemented, and enforced.</w:t>
      </w:r>
    </w:p>
    <w:p>
      <w:pPr>
        <w:pStyle w:val="Normal"/>
        <w:suppressAutoHyphens w:val="true"/>
        <w:spacing w:before="0" w:after="240"/>
        <w:rPr/>
      </w:pPr>
      <w:r>
        <w:rPr/>
        <w:tab/>
        <w:tab/>
        <w:t>2.</w:t>
        <w:tab/>
        <w:t>Risk Management Programs</w:t>
      </w:r>
    </w:p>
    <w:p>
      <w:pPr>
        <w:pStyle w:val="Normal"/>
        <w:suppressAutoHyphens w:val="true"/>
        <w:spacing w:before="0" w:after="240"/>
        <w:rPr/>
      </w:pPr>
      <w:r>
        <w:rPr/>
        <w:tab/>
        <w:t>A Risk Management Program for a Dealer in Commodities is typically approved by the dealer’s senior management.  It generally sets out strict Position Limits for acceptable trading and market limits, providing rules with respect to the trading activities, including how risks are measured and monitored, and how violations of the policy are punished.</w:t>
      </w:r>
    </w:p>
    <w:p>
      <w:pPr>
        <w:pStyle w:val="Normal"/>
        <w:suppressAutoHyphens w:val="true"/>
        <w:spacing w:before="0" w:after="240"/>
        <w:rPr/>
      </w:pPr>
      <w:r>
        <w:rPr/>
        <w:tab/>
        <w:t>A Risk Management Program typically address three key points.  First, it addresses the level of exposure that the Dealer in Commodities will tolerate during the conduct of its business.  Second, it sets out the maximum loss that can be incurred by the dealer during a given time period.  And, third, it sets out the maximum amount of exposure that the Dealer in Commodities is willing to sustain under unusual and financially stressful conditions.</w:t>
      </w:r>
    </w:p>
    <w:p>
      <w:pPr>
        <w:pStyle w:val="Normal"/>
        <w:suppressAutoHyphens w:val="true"/>
        <w:spacing w:before="0" w:after="240"/>
        <w:rPr/>
      </w:pPr>
      <w:r>
        <w:rPr/>
        <w:tab/>
        <w:t>An important feature of most Risk Management Programs is the establishment of controls on speculation, in the form of Position Limits, which are usually established and approved by senior management for various business groups, business operations, and individual employees.  Position Limits are typically reviewed by senior management at least annually but are generally reviewed and modified whenever there are significant structural changes in the business, the market, or regulatory conditions faced by the Dealer in Commodities.</w:t>
      </w:r>
    </w:p>
    <w:p>
      <w:pPr>
        <w:pStyle w:val="Normal"/>
        <w:suppressAutoHyphens w:val="true"/>
        <w:spacing w:before="0" w:after="240"/>
        <w:rPr/>
      </w:pPr>
      <w:r>
        <w:rPr/>
        <w:tab/>
        <w:t>Position Limits are intended to manage the exposure to downside risk faced by the Dealer in Commodities from adverse market volatility and price movements.  Position Limits are often measured by the use of stop limits, value-at-risk limits, trade limits, tenor limits, and option limits.</w:t>
      </w:r>
    </w:p>
    <w:p>
      <w:pPr>
        <w:pStyle w:val="Normal"/>
        <w:suppressAutoHyphens w:val="true"/>
        <w:spacing w:before="0" w:after="240"/>
        <w:rPr/>
      </w:pPr>
      <w:r>
        <w:rPr/>
        <w:tab/>
        <w:t>In addition to imposing overall Position Limits, the Risk Management Program of a Dealer in Commodities may subject individual employees to specific trading position limits, which can be imposed both for individual transactions and for the employee’s aggregate transactions.  Transactions outside of applicable Position Limits are strictly prohibited without prior approval of senior management.</w:t>
      </w:r>
    </w:p>
    <w:p>
      <w:pPr>
        <w:pStyle w:val="Normal"/>
        <w:suppressAutoHyphens w:val="true"/>
        <w:spacing w:before="0" w:after="240"/>
        <w:rPr/>
      </w:pPr>
      <w:r>
        <w:rPr/>
        <w:tab/>
        <w:t>The Risk Management Program of a Dealer in Commodities typically describes the maximum amount of realized (and in many cases unrealized) losses that an individual employee can sustain in the dealer’s trading portfolio (or book), over a period of time.  Senior management monitors and enforces these trading limits, on both a realized and unrealized basis.</w:t>
      </w:r>
    </w:p>
    <w:p>
      <w:pPr>
        <w:pStyle w:val="Normal"/>
        <w:suppressAutoHyphens w:val="true"/>
        <w:spacing w:before="0" w:after="240"/>
        <w:rPr/>
      </w:pPr>
      <w:r>
        <w:rPr/>
        <w:tab/>
        <w:t>It is important to note that the pre-approved Position Limits set out in the typical Risk Management Program of a Dealer in Commodities are given serious and substantial consideration by senior management prior to being adopted.  In essence, these Position Limits attempt to control how much exposure to commodity price fluctuations a Dealer in Commodities is willing to accept.  Stated differently, Position Limits are established in order to monitor and strictly control how much a Dealer in Commodities may lose in the event of adverse fluctuations in commodity prices.  As such, the Position Limits of a Dealer in Commodities will be established to reflect its senior management’s views on acceptable levels of risk tolerances and its risk management activities.</w:t>
      </w:r>
    </w:p>
    <w:p>
      <w:pPr>
        <w:pStyle w:val="Normal"/>
        <w:suppressAutoHyphens w:val="true"/>
        <w:spacing w:before="0" w:after="240"/>
        <w:rPr/>
      </w:pPr>
      <w:r>
        <w:rPr/>
        <w:tab/>
        <w:t>In summary, with the Risk Management Program of a Dealer in Commodities, all transactions generally must comply with guidelines and strategies described in the Risk Management Program; must fall within pre-approved Position Limits; must be transacted in approved products; and must fall within the pre-approved credit limits for each approved counterparty.  Employees are required to stay within the guidelines set out in the Risk Management Program with respect to credit risk limits, market risk limits, term limits, and approved trading products.  A senior manager (or a designed risk manager) monitors compliance with the limits, and immediately reports any limit violations to senior management.  Enforcement typically rests with senior management.</w:t>
      </w:r>
    </w:p>
    <w:p>
      <w:pPr>
        <w:pStyle w:val="Normal"/>
        <w:suppressAutoHyphens w:val="true"/>
        <w:spacing w:before="0" w:after="240"/>
        <w:rPr/>
      </w:pPr>
      <w:r>
        <w:rPr/>
        <w:tab/>
        <w:tab/>
        <w:t>3.</w:t>
        <w:tab/>
        <w:t>Consequences of Exceeding Position Limits</w:t>
      </w:r>
    </w:p>
    <w:p>
      <w:pPr>
        <w:pStyle w:val="Normal"/>
        <w:suppressAutoHyphens w:val="true"/>
        <w:spacing w:before="0" w:after="240"/>
        <w:rPr/>
      </w:pPr>
      <w:r>
        <w:rPr/>
        <w:tab/>
        <w:t xml:space="preserve">If pre-approved Position Limits are exceeded at any time, most Risk Management Programs require a senior manager to prepare a report to company management (within a designated time period).  Typically, such a report describes the nature of the violation and identifies those steps that have been taken to correct the violation.  </w:t>
      </w:r>
    </w:p>
    <w:p>
      <w:pPr>
        <w:pStyle w:val="Normal"/>
        <w:suppressAutoHyphens w:val="true"/>
        <w:spacing w:before="0" w:after="240"/>
        <w:rPr/>
      </w:pPr>
      <w:r>
        <w:rPr/>
        <w:tab/>
        <w:t xml:space="preserve">In general, if a Position Limit is approached or exceeded, a senior manager (or the designated risk manager) is authorized to bring the exposures back to acceptable levels within a specified time period, including the authority to close out open positions or to enter into offsetting positions to bring the trading portfolio back within the required trading limits.  As a result, part of the monthly management reporting process often includes any actions taken (or anticipated to be taken) to limit the overall levels of market risk to assure that Position Limits are respected.  </w:t>
      </w:r>
    </w:p>
    <w:p>
      <w:pPr>
        <w:pStyle w:val="Normal"/>
        <w:keepNext w:val="true"/>
        <w:suppressAutoHyphens w:val="true"/>
        <w:spacing w:before="0" w:after="240"/>
        <w:rPr>
          <w:b/>
        </w:rPr>
      </w:pPr>
      <w:r>
        <w:rPr>
          <w:b/>
        </w:rPr>
        <w:t>III.</w:t>
        <w:tab/>
        <w:t>CONCLUSIONS</w:t>
      </w:r>
    </w:p>
    <w:p>
      <w:pPr>
        <w:pStyle w:val="Normal"/>
        <w:suppressAutoHyphens w:val="true"/>
        <w:spacing w:before="0" w:after="240"/>
        <w:rPr/>
      </w:pPr>
      <w:r>
        <w:rPr/>
        <w:tab/>
        <w:t>We urge the Treasury to conform the Proposed Regulations to replace the concept of “risk reduction” with the Congressionally mandated standard of “risk management.”  In providing examples of modern risk management activities that qualify as “hedging transactions” under Code §1221(a)(7), we propose that the final regulations include commodities derivatives entered into by a Dealer in Commodities within the pre-approved Position Limits set out in its Risk Management Program.  Our proposal closely follows the approach taken by the Treasury in the Current Regulations, and it recognizes the existence of appropriate and inevitable differences between each Dealer in Commodities as to its risk tolerances and risk management techniques.  We urge adoption of a Rule of Application for Dealers in Commodities in the form we have set out in Appendix A to this letter.</w:t>
      </w:r>
    </w:p>
    <w:p>
      <w:pPr>
        <w:pStyle w:val="Normal"/>
        <w:suppressAutoHyphens w:val="true"/>
        <w:spacing w:before="0" w:after="240"/>
        <w:rPr/>
      </w:pPr>
      <w:r>
        <w:rPr/>
        <w:tab/>
        <w:t>We would be pleased to discuss our proposal with you further.  And, you can contact either one of us at the phone number or email address that we provide below.</w:t>
      </w:r>
    </w:p>
    <w:p>
      <w:pPr>
        <w:pStyle w:val="Normal"/>
        <w:suppressAutoHyphens w:val="true"/>
        <w:spacing w:before="0" w:after="240"/>
        <w:rPr/>
      </w:pPr>
      <w:r>
        <w:rPr/>
        <w:tab/>
        <w:tab/>
        <w:tab/>
        <w:tab/>
        <w:tab/>
        <w:tab/>
        <w:tab/>
        <w:t>Sincerely,</w:t>
      </w:r>
    </w:p>
    <w:p>
      <w:pPr>
        <w:pStyle w:val="LetterSignature"/>
        <w:spacing w:before="0" w:after="240"/>
        <w:rPr/>
      </w:pPr>
      <w:r>
        <w:rPr/>
      </w:r>
    </w:p>
    <w:p>
      <w:pPr>
        <w:pStyle w:val="Normal"/>
        <w:rPr/>
      </w:pPr>
      <w:r>
        <w:rPr/>
        <w:tab/>
        <w:tab/>
        <w:tab/>
        <w:tab/>
        <w:tab/>
        <w:tab/>
        <w:tab/>
        <w:t>Andrea S. Kramer</w:t>
      </w:r>
    </w:p>
    <w:p>
      <w:pPr>
        <w:pStyle w:val="Normal"/>
        <w:rPr/>
      </w:pPr>
      <w:r>
        <w:rPr/>
        <w:tab/>
        <w:tab/>
        <w:tab/>
        <w:tab/>
        <w:tab/>
        <w:tab/>
        <w:tab/>
        <w:t>(312) 984-6480</w:t>
      </w:r>
    </w:p>
    <w:p>
      <w:pPr>
        <w:pStyle w:val="Normal"/>
        <w:rPr/>
      </w:pPr>
      <w:r>
        <w:rPr/>
        <w:tab/>
        <w:tab/>
        <w:tab/>
        <w:tab/>
        <w:tab/>
        <w:tab/>
        <w:tab/>
        <w:t xml:space="preserve">akramer@mwe.com </w:t>
      </w:r>
    </w:p>
    <w:p>
      <w:pPr>
        <w:pStyle w:val="Normal"/>
        <w:rPr/>
      </w:pPr>
      <w:r>
        <w:rPr/>
        <w:tab/>
        <w:tab/>
        <w:tab/>
        <w:tab/>
        <w:tab/>
        <w:tab/>
        <w:tab/>
        <w:t>William R. Pomierski</w:t>
      </w:r>
    </w:p>
    <w:p>
      <w:pPr>
        <w:pStyle w:val="Normal"/>
        <w:rPr/>
      </w:pPr>
      <w:r>
        <w:rPr/>
        <w:tab/>
        <w:tab/>
        <w:tab/>
        <w:tab/>
        <w:tab/>
        <w:tab/>
        <w:tab/>
        <w:t>(312) 984-7531</w:t>
      </w:r>
    </w:p>
    <w:p>
      <w:pPr>
        <w:pStyle w:val="Normal"/>
        <w:rPr/>
      </w:pPr>
      <w:r>
        <w:rPr/>
        <w:tab/>
        <w:tab/>
        <w:tab/>
        <w:tab/>
        <w:tab/>
        <w:tab/>
        <w:tab/>
        <w:t>wpomierski@mwe.com</w:t>
      </w:r>
    </w:p>
    <w:p>
      <w:pPr>
        <w:sectPr>
          <w:headerReference w:type="default" r:id="rId35"/>
          <w:headerReference w:type="first" r:id="rId36"/>
          <w:footerReference w:type="default" r:id="rId37"/>
          <w:footerReference w:type="first" r:id="rId38"/>
          <w:footnotePr>
            <w:numFmt w:val="decimal"/>
          </w:footnotePr>
          <w:type w:val="nextPage"/>
          <w:pgSz w:w="12240" w:h="15840"/>
          <w:pgMar w:left="1728" w:right="1728" w:gutter="0" w:header="720" w:top="1440" w:footer="720" w:bottom="1440"/>
          <w:pgNumType w:start="1" w:fmt="decimal"/>
          <w:formProt w:val="false"/>
          <w:titlePg/>
          <w:textDirection w:val="lrTb"/>
          <w:docGrid w:type="default" w:linePitch="360" w:charSpace="0"/>
        </w:sectPr>
        <w:pStyle w:val="Normal"/>
        <w:spacing w:before="0" w:after="240"/>
        <w:rPr/>
      </w:pPr>
      <w:r>
        <w:rPr/>
      </w:r>
    </w:p>
    <w:p>
      <w:pPr>
        <w:pStyle w:val="Normal"/>
        <w:spacing w:before="0" w:after="240"/>
        <w:jc w:val="center"/>
        <w:rPr>
          <w:b/>
          <w:u w:val="single"/>
        </w:rPr>
      </w:pPr>
      <w:r>
        <w:rPr>
          <w:b/>
          <w:u w:val="single"/>
        </w:rPr>
        <w:t>APPENDIX A</w:t>
      </w:r>
    </w:p>
    <w:p>
      <w:pPr>
        <w:pStyle w:val="Normal"/>
        <w:spacing w:before="0" w:after="240"/>
        <w:jc w:val="center"/>
        <w:rPr>
          <w:b/>
        </w:rPr>
      </w:pPr>
      <w:r>
        <w:rPr>
          <w:b/>
        </w:rPr>
        <w:t>REG. § 1.1221-2(c)(1)(viii)</w:t>
      </w:r>
    </w:p>
    <w:p>
      <w:pPr>
        <w:pStyle w:val="Normal"/>
        <w:spacing w:before="0" w:after="240"/>
        <w:jc w:val="center"/>
        <w:rPr>
          <w:b/>
        </w:rPr>
      </w:pPr>
      <w:r>
        <w:rPr>
          <w:b/>
        </w:rPr>
        <w:t>DEALERS IN COMMODITIES</w:t>
      </w:r>
    </w:p>
    <w:p>
      <w:pPr>
        <w:pStyle w:val="Normal"/>
        <w:spacing w:before="0" w:after="240"/>
        <w:rPr>
          <w:b/>
        </w:rPr>
      </w:pPr>
      <w:r>
        <w:rPr>
          <w:b/>
        </w:rPr>
      </w:r>
    </w:p>
    <w:p>
      <w:pPr>
        <w:pStyle w:val="Normal"/>
        <w:spacing w:before="0" w:after="240"/>
        <w:rPr/>
      </w:pPr>
      <w:r>
        <w:rPr/>
        <w:tab/>
        <w:t xml:space="preserve">(viii) </w:t>
      </w:r>
      <w:r>
        <w:rPr>
          <w:u w:val="single"/>
        </w:rPr>
        <w:t>Transactions that manage risk</w:t>
      </w:r>
      <w:r>
        <w:rPr/>
        <w:t>. -- (A)</w:t>
        <w:tab/>
      </w:r>
      <w:r>
        <w:rPr>
          <w:u w:val="single"/>
        </w:rPr>
        <w:t>In General</w:t>
      </w:r>
      <w:r>
        <w:rPr/>
        <w:t xml:space="preserve">.  A </w:t>
      </w:r>
      <w:r>
        <w:rPr>
          <w:i/>
        </w:rPr>
        <w:t xml:space="preserve">risk management transaction </w:t>
      </w:r>
      <w:r>
        <w:rPr/>
        <w:t xml:space="preserve">entered into by a dealer in commodities other than in its dealer capacity, generally will be respected as managing risk if it is undertaken as part of a risk management program that, as a whole, is reasonably expected to assure that the overall risks of the taxpayer’s operations are consistent with the standards established in its risk management program.  The taxpayer generally does not have to demonstrate that each hedge that was entered into pursuant to its risk management program manages its overall risk.  </w:t>
      </w:r>
    </w:p>
    <w:p>
      <w:pPr>
        <w:pStyle w:val="Normal"/>
        <w:spacing w:before="0" w:after="240"/>
        <w:rPr/>
      </w:pPr>
      <w:r>
        <w:rPr/>
        <w:tab/>
        <w:t>(B)</w:t>
        <w:tab/>
      </w:r>
      <w:r>
        <w:rPr>
          <w:u w:val="single"/>
        </w:rPr>
        <w:t>Definitions</w:t>
      </w:r>
      <w:r>
        <w:rPr/>
        <w:t xml:space="preserve">.  For purposes of section 1.1221-2(c)(1)(viii)(a), a </w:t>
      </w:r>
      <w:r>
        <w:rPr>
          <w:i/>
        </w:rPr>
        <w:t>risk management program</w:t>
      </w:r>
      <w:r>
        <w:rPr/>
        <w:t xml:space="preserve"> must include an identification of the types of risks being managed; a description of the type of items giving rise to the risks being managed; and sufficient additional information to demonstrate that the risk management program is designed to measure and monitor risk of the type identified in accordance with the risk parameters set out in a formal policy statement approved by the taxpayer’s senior management.  Such a program must contain controls on speculation (for example, position limits) and must explain how such controls are established, communicated, implemented, and enforced.  </w:t>
      </w:r>
    </w:p>
    <w:p>
      <w:pPr>
        <w:pStyle w:val="Normal"/>
        <w:spacing w:before="0" w:after="240"/>
        <w:rPr/>
      </w:pPr>
      <w:r>
        <w:rPr/>
        <w:t xml:space="preserve">A </w:t>
      </w:r>
      <w:r>
        <w:rPr>
          <w:i/>
        </w:rPr>
        <w:t>dealer in commodities</w:t>
      </w:r>
      <w:r>
        <w:rPr/>
        <w:t xml:space="preserve"> includes a dealer in physical commodities, a commodities derivatives dealer (as defined in Code §1221(b)(1)(A)), or a dealer in both physicals and derivatives.  A dealer in commodities does not include a “commodities dealer” as defined in Code §1402(i)(2)(B).</w:t>
      </w:r>
    </w:p>
    <w:p>
      <w:pPr>
        <w:pStyle w:val="Normal"/>
        <w:spacing w:before="0" w:after="240"/>
        <w:rPr/>
      </w:pPr>
      <w:r>
        <w:rPr/>
        <w:t xml:space="preserve">A </w:t>
      </w:r>
      <w:r>
        <w:rPr>
          <w:i/>
        </w:rPr>
        <w:t>risk management transaction</w:t>
      </w:r>
      <w:r>
        <w:rPr/>
        <w:t xml:space="preserve"> means any commodities derivative (whether exchange-traded or over-the-counter) that is entered into by a dealer in commodities in the normal course of its commodities dealer business if (i) the value or settlement price of the risk management transaction is based on or determined by reference to the value of a commodity in which the dealer in commodities is a dealer; (ii) the transaction was entered into within the position limits set out in its risk management program; and (iii) the transaction is not identified by the dealer in commodities as a transaction entered into in its dealer capacity. </w:t>
      </w:r>
    </w:p>
    <w:p>
      <w:pPr>
        <w:sectPr>
          <w:headerReference w:type="default" r:id="rId39"/>
          <w:headerReference w:type="first" r:id="rId40"/>
          <w:footerReference w:type="default" r:id="rId41"/>
          <w:footerReference w:type="first" r:id="rId42"/>
          <w:footnotePr>
            <w:numFmt w:val="decimal"/>
          </w:footnotePr>
          <w:type w:val="nextPage"/>
          <w:pgSz w:w="12240" w:h="15840"/>
          <w:pgMar w:left="1728" w:right="1728" w:gutter="0" w:header="720" w:top="1440" w:footer="720" w:bottom="1440"/>
          <w:pgNumType w:start="1" w:fmt="decimal"/>
          <w:formProt w:val="false"/>
          <w:titlePg/>
          <w:textDirection w:val="lrTb"/>
          <w:docGrid w:type="default" w:linePitch="360" w:charSpace="0"/>
        </w:sectPr>
        <w:pStyle w:val="Normal"/>
        <w:spacing w:before="0" w:after="240"/>
        <w:rPr/>
      </w:pPr>
      <w:r>
        <w:rPr>
          <w:i/>
        </w:rPr>
        <w:t>Position limits</w:t>
      </w:r>
      <w:r>
        <w:rPr/>
        <w:t xml:space="preserve"> are pre-approved controls on speculation that are set out in the risk management program.</w:t>
      </w:r>
    </w:p>
    <w:p>
      <w:pPr>
        <w:pStyle w:val="Normal"/>
        <w:rPr>
          <w:b/>
          <w:smallCaps/>
        </w:rPr>
      </w:pPr>
      <w:r>
        <w:rPr>
          <w:b/>
          <w:smallCaps/>
        </w:rPr>
        <w:t>ERDTG Registration Form</w:t>
      </w:r>
    </w:p>
    <w:p>
      <w:pPr>
        <w:pStyle w:val="Normal"/>
        <w:rPr>
          <w:b/>
          <w:smallCaps/>
        </w:rPr>
      </w:pPr>
      <w:r>
        <w:rPr>
          <w:b/>
          <w:smallCaps/>
        </w:rPr>
      </w:r>
    </w:p>
    <w:p>
      <w:pPr>
        <w:pStyle w:val="Normal"/>
        <w:rPr>
          <w:b/>
          <w:smallCaps/>
          <w:u w:val="single"/>
        </w:rPr>
      </w:pPr>
      <w:r>
        <w:rPr>
          <w:b/>
          <w:smallCaps/>
          <w:u w:val="single"/>
        </w:rPr>
        <w:t>Item NINE</w:t>
      </w:r>
    </w:p>
    <w:p>
      <w:pPr>
        <w:pStyle w:val="Normal"/>
        <w:rPr>
          <w:b/>
          <w:smallCaps/>
          <w:u w:val="single"/>
        </w:rPr>
      </w:pPr>
      <w:r>
        <w:rPr>
          <w:b/>
          <w:smallCaps/>
          <w:u w:val="single"/>
        </w:rPr>
      </w:r>
    </w:p>
    <w:p>
      <w:pPr>
        <w:pStyle w:val="Header"/>
        <w:rPr/>
      </w:pPr>
      <w:r>
        <w:rPr/>
        <w:tab/>
      </w:r>
      <w:r>
        <w:rPr/>
        <w:drawing>
          <wp:inline distT="0" distB="0" distL="0" distR="0">
            <wp:extent cx="5486400" cy="129032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3"/>
                    <a:srcRect l="-5" t="-22" r="-5" b="-22"/>
                    <a:stretch>
                      <a:fillRect/>
                    </a:stretch>
                  </pic:blipFill>
                  <pic:spPr bwMode="auto">
                    <a:xfrm>
                      <a:off x="0" y="0"/>
                      <a:ext cx="5486400" cy="1290320"/>
                    </a:xfrm>
                    <a:prstGeom prst="rect">
                      <a:avLst/>
                    </a:prstGeom>
                    <a:noFill/>
                  </pic:spPr>
                </pic:pic>
              </a:graphicData>
            </a:graphic>
          </wp:inline>
        </w:drawing>
      </w:r>
    </w:p>
    <w:p>
      <w:pPr>
        <w:pStyle w:val="Normal"/>
        <w:jc w:val="center"/>
        <w:rPr>
          <w:b/>
          <w:sz w:val="32"/>
          <w:u w:val="single"/>
        </w:rPr>
      </w:pPr>
      <w:r>
        <w:rPr>
          <w:b/>
          <w:sz w:val="32"/>
          <w:u w:val="single"/>
        </w:rPr>
        <w:t>Registration Form</w:t>
      </w:r>
    </w:p>
    <w:p>
      <w:pPr>
        <w:pStyle w:val="Normal"/>
        <w:rPr>
          <w:b/>
          <w:sz w:val="32"/>
          <w:u w:val="single"/>
        </w:rPr>
      </w:pPr>
      <w:r>
        <w:rPr>
          <w:b/>
          <w:sz w:val="32"/>
          <w:u w:val="single"/>
        </w:rPr>
      </w:r>
    </w:p>
    <w:p>
      <w:pPr>
        <w:pStyle w:val="Normal"/>
        <w:rPr>
          <w:b/>
        </w:rPr>
      </w:pPr>
      <w:r>
        <w:rPr>
          <w:b/>
        </w:rPr>
        <w:t>Yes, I/we would be interested in joining the Energy Restructuring &amp; Decommissioning Tax Group.  Listed below is our enrollment information.</w:t>
      </w:r>
    </w:p>
    <w:p>
      <w:pPr>
        <w:pStyle w:val="Normal"/>
        <w:rPr>
          <w:b/>
        </w:rPr>
      </w:pPr>
      <w:r>
        <w:rPr>
          <w:b/>
        </w:rPr>
      </w:r>
    </w:p>
    <w:p>
      <w:pPr>
        <w:pStyle w:val="Normal"/>
        <w:rPr>
          <w:sz w:val="22"/>
        </w:rPr>
      </w:pPr>
      <w:r>
        <w:rPr>
          <w:sz w:val="22"/>
        </w:rPr>
        <w:t xml:space="preserve">Name:  </w:t>
      </w:r>
      <w:r>
        <w:rPr>
          <w:sz w:val="22"/>
          <w:u w:val="single"/>
        </w:rPr>
        <w:tab/>
        <w:tab/>
        <w:tab/>
        <w:tab/>
        <w:tab/>
        <w:tab/>
        <w:tab/>
        <w:tab/>
      </w:r>
    </w:p>
    <w:p>
      <w:pPr>
        <w:pStyle w:val="Normal"/>
        <w:rPr>
          <w:sz w:val="22"/>
        </w:rPr>
      </w:pPr>
      <w:r>
        <w:rPr>
          <w:sz w:val="22"/>
        </w:rPr>
      </w:r>
    </w:p>
    <w:p>
      <w:pPr>
        <w:pStyle w:val="Normal"/>
        <w:rPr>
          <w:sz w:val="22"/>
        </w:rPr>
      </w:pPr>
      <w:r>
        <w:rPr>
          <w:sz w:val="22"/>
        </w:rPr>
        <w:t xml:space="preserve">Title: </w:t>
      </w:r>
      <w:r>
        <w:rPr>
          <w:sz w:val="22"/>
          <w:u w:val="single"/>
        </w:rPr>
        <w:tab/>
        <w:tab/>
        <w:tab/>
        <w:tab/>
        <w:tab/>
        <w:tab/>
        <w:tab/>
        <w:tab/>
        <w:tab/>
      </w:r>
    </w:p>
    <w:p>
      <w:pPr>
        <w:pStyle w:val="Normal"/>
        <w:rPr>
          <w:sz w:val="22"/>
        </w:rPr>
      </w:pPr>
      <w:r>
        <w:rPr>
          <w:sz w:val="22"/>
        </w:rPr>
      </w:r>
    </w:p>
    <w:p>
      <w:pPr>
        <w:pStyle w:val="Normal"/>
        <w:rPr/>
      </w:pPr>
      <w:r>
        <w:rPr>
          <w:sz w:val="22"/>
        </w:rPr>
        <w:t xml:space="preserve">Company: </w:t>
      </w:r>
      <w:r>
        <w:rPr>
          <w:sz w:val="22"/>
          <w:u w:val="single"/>
        </w:rPr>
        <w:tab/>
        <w:tab/>
        <w:tab/>
        <w:tab/>
        <w:tab/>
        <w:tab/>
        <w:tab/>
        <w:tab/>
      </w:r>
    </w:p>
    <w:p>
      <w:pPr>
        <w:pStyle w:val="Normal"/>
        <w:rPr>
          <w:sz w:val="22"/>
          <w:u w:val="single"/>
        </w:rPr>
      </w:pPr>
      <w:r>
        <w:rPr>
          <w:sz w:val="22"/>
          <w:u w:val="single"/>
        </w:rPr>
      </w:r>
    </w:p>
    <w:p>
      <w:pPr>
        <w:pStyle w:val="Normal"/>
        <w:rPr/>
      </w:pPr>
      <w:r>
        <w:rPr>
          <w:sz w:val="22"/>
        </w:rPr>
        <w:t xml:space="preserve">Address: </w:t>
      </w:r>
      <w:r>
        <w:rPr>
          <w:sz w:val="22"/>
          <w:u w:val="single"/>
        </w:rPr>
        <w:tab/>
        <w:tab/>
        <w:tab/>
        <w:tab/>
        <w:tab/>
        <w:tab/>
        <w:tab/>
        <w:tab/>
      </w:r>
    </w:p>
    <w:p>
      <w:pPr>
        <w:pStyle w:val="Normal"/>
        <w:rPr>
          <w:sz w:val="22"/>
          <w:u w:val="single"/>
        </w:rPr>
      </w:pPr>
      <w:r>
        <w:rPr>
          <w:sz w:val="22"/>
          <w:u w:val="single"/>
        </w:rPr>
      </w:r>
    </w:p>
    <w:p>
      <w:pPr>
        <w:pStyle w:val="Normal"/>
        <w:rPr>
          <w:sz w:val="22"/>
        </w:rPr>
      </w:pPr>
      <w:r>
        <w:rPr>
          <w:sz w:val="22"/>
        </w:rPr>
        <w:t xml:space="preserve">City, State, Zip </w:t>
      </w:r>
      <w:r>
        <w:rPr>
          <w:sz w:val="22"/>
          <w:u w:val="single"/>
        </w:rPr>
        <w:tab/>
        <w:tab/>
        <w:tab/>
        <w:tab/>
        <w:tab/>
        <w:tab/>
        <w:tab/>
      </w:r>
    </w:p>
    <w:p>
      <w:pPr>
        <w:pStyle w:val="Normal"/>
        <w:rPr>
          <w:sz w:val="22"/>
        </w:rPr>
      </w:pPr>
      <w:r>
        <w:rPr>
          <w:sz w:val="22"/>
        </w:rPr>
      </w:r>
    </w:p>
    <w:p>
      <w:pPr>
        <w:pStyle w:val="Normal"/>
        <w:jc w:val="both"/>
        <w:rPr/>
      </w:pPr>
      <w:r>
        <w:rPr>
          <w:sz w:val="22"/>
        </w:rPr>
        <w:t xml:space="preserve">Telephone </w:t>
      </w:r>
      <w:r>
        <w:rPr>
          <w:sz w:val="22"/>
          <w:u w:val="single"/>
        </w:rPr>
        <w:tab/>
        <w:tab/>
        <w:tab/>
        <w:tab/>
      </w:r>
      <w:r>
        <w:rPr>
          <w:sz w:val="22"/>
        </w:rPr>
        <w:t xml:space="preserve"> Fax </w:t>
      </w:r>
      <w:r>
        <w:rPr>
          <w:sz w:val="22"/>
          <w:u w:val="single"/>
        </w:rPr>
        <w:tab/>
        <w:tab/>
        <w:tab/>
        <w:tab/>
      </w:r>
    </w:p>
    <w:p>
      <w:pPr>
        <w:pStyle w:val="Normal"/>
        <w:jc w:val="both"/>
        <w:rPr>
          <w:sz w:val="22"/>
          <w:u w:val="single"/>
        </w:rPr>
      </w:pPr>
      <w:r>
        <w:rPr>
          <w:sz w:val="22"/>
          <w:u w:val="single"/>
        </w:rPr>
      </w:r>
    </w:p>
    <w:p>
      <w:pPr>
        <w:pStyle w:val="Normal"/>
        <w:jc w:val="both"/>
        <w:rPr>
          <w:sz w:val="22"/>
        </w:rPr>
      </w:pPr>
      <w:r>
        <w:rPr>
          <w:sz w:val="22"/>
        </w:rPr>
        <w:t xml:space="preserve">E-Mail Address </w:t>
      </w:r>
      <w:r>
        <w:rPr>
          <w:sz w:val="22"/>
          <w:u w:val="single"/>
        </w:rPr>
        <w:tab/>
        <w:tab/>
        <w:tab/>
        <w:tab/>
        <w:tab/>
        <w:tab/>
        <w:tab/>
      </w:r>
    </w:p>
    <w:p>
      <w:pPr>
        <w:pStyle w:val="Normal"/>
        <w:jc w:val="both"/>
        <w:rPr>
          <w:sz w:val="22"/>
        </w:rPr>
      </w:pPr>
      <w:r>
        <w:rPr>
          <w:sz w:val="22"/>
        </w:rPr>
      </w:r>
    </w:p>
    <w:p>
      <w:pPr>
        <w:pStyle w:val="Normal"/>
        <w:jc w:val="both"/>
        <w:rPr/>
      </w:pPr>
      <w:r>
        <w:rPr>
          <w:b/>
          <w:u w:val="single"/>
        </w:rPr>
        <w:t>Additional parties</w:t>
      </w:r>
      <w:r>
        <w:rPr>
          <w:b/>
        </w:rPr>
        <w:t xml:space="preserve"> (Use additional paper if necessary):</w:t>
      </w:r>
    </w:p>
    <w:p>
      <w:pPr>
        <w:pStyle w:val="Normal"/>
        <w:jc w:val="both"/>
        <w:rPr>
          <w:b/>
        </w:rPr>
      </w:pPr>
      <w:r>
        <w:rPr>
          <w:b/>
        </w:rPr>
      </w:r>
    </w:p>
    <w:p>
      <w:pPr>
        <w:pStyle w:val="Normal"/>
        <w:rPr>
          <w:sz w:val="22"/>
        </w:rPr>
      </w:pPr>
      <w:r>
        <w:rPr>
          <w:sz w:val="22"/>
        </w:rPr>
        <w:t xml:space="preserve">Name:  </w:t>
      </w:r>
      <w:r>
        <w:rPr>
          <w:sz w:val="22"/>
          <w:u w:val="single"/>
        </w:rPr>
        <w:tab/>
        <w:tab/>
        <w:tab/>
        <w:tab/>
        <w:tab/>
        <w:tab/>
        <w:tab/>
        <w:tab/>
      </w:r>
    </w:p>
    <w:p>
      <w:pPr>
        <w:pStyle w:val="Normal"/>
        <w:rPr>
          <w:sz w:val="22"/>
        </w:rPr>
      </w:pPr>
      <w:r>
        <w:rPr>
          <w:sz w:val="22"/>
        </w:rPr>
      </w:r>
    </w:p>
    <w:p>
      <w:pPr>
        <w:pStyle w:val="Normal"/>
        <w:rPr>
          <w:sz w:val="22"/>
        </w:rPr>
      </w:pPr>
      <w:r>
        <w:rPr>
          <w:sz w:val="22"/>
        </w:rPr>
        <w:t xml:space="preserve">Title: </w:t>
      </w:r>
      <w:r>
        <w:rPr>
          <w:sz w:val="22"/>
          <w:u w:val="single"/>
        </w:rPr>
        <w:tab/>
        <w:tab/>
        <w:tab/>
        <w:tab/>
        <w:tab/>
        <w:tab/>
        <w:tab/>
        <w:tab/>
        <w:tab/>
      </w:r>
    </w:p>
    <w:p>
      <w:pPr>
        <w:pStyle w:val="Normal"/>
        <w:jc w:val="both"/>
        <w:rPr>
          <w:sz w:val="22"/>
        </w:rPr>
      </w:pPr>
      <w:r>
        <w:rPr>
          <w:sz w:val="22"/>
        </w:rPr>
      </w:r>
    </w:p>
    <w:p>
      <w:pPr>
        <w:pStyle w:val="Normal"/>
        <w:jc w:val="both"/>
        <w:rPr/>
      </w:pPr>
      <w:r>
        <w:rPr>
          <w:sz w:val="22"/>
        </w:rPr>
        <w:t xml:space="preserve">Telephone </w:t>
      </w:r>
      <w:r>
        <w:rPr>
          <w:sz w:val="22"/>
          <w:u w:val="single"/>
        </w:rPr>
        <w:tab/>
        <w:tab/>
        <w:tab/>
        <w:tab/>
      </w:r>
      <w:r>
        <w:rPr>
          <w:sz w:val="22"/>
        </w:rPr>
        <w:t xml:space="preserve"> Fax </w:t>
      </w:r>
      <w:r>
        <w:rPr>
          <w:sz w:val="22"/>
          <w:u w:val="single"/>
        </w:rPr>
        <w:tab/>
        <w:tab/>
        <w:tab/>
        <w:tab/>
      </w:r>
    </w:p>
    <w:p>
      <w:pPr>
        <w:pStyle w:val="Normal"/>
        <w:jc w:val="both"/>
        <w:rPr>
          <w:sz w:val="22"/>
          <w:u w:val="single"/>
        </w:rPr>
      </w:pPr>
      <w:r>
        <w:rPr>
          <w:sz w:val="22"/>
          <w:u w:val="single"/>
        </w:rPr>
      </w:r>
    </w:p>
    <w:p>
      <w:pPr>
        <w:pStyle w:val="Normal"/>
        <w:jc w:val="both"/>
        <w:rPr>
          <w:sz w:val="22"/>
        </w:rPr>
      </w:pPr>
      <w:r>
        <w:rPr>
          <w:sz w:val="22"/>
        </w:rPr>
        <w:t xml:space="preserve">E-Mail Address </w:t>
      </w:r>
      <w:r>
        <w:rPr>
          <w:sz w:val="22"/>
          <w:u w:val="single"/>
        </w:rPr>
        <w:tab/>
        <w:tab/>
        <w:tab/>
        <w:tab/>
        <w:tab/>
        <w:tab/>
        <w:tab/>
      </w:r>
    </w:p>
    <w:p>
      <w:pPr>
        <w:pStyle w:val="Normal"/>
        <w:jc w:val="both"/>
        <w:rPr>
          <w:sz w:val="22"/>
        </w:rPr>
      </w:pPr>
      <w:r>
        <w:rPr>
          <w:sz w:val="22"/>
        </w:rPr>
      </w:r>
    </w:p>
    <w:p>
      <w:pPr>
        <w:pStyle w:val="Normal"/>
        <w:jc w:val="both"/>
        <w:rPr/>
      </w:pPr>
      <w:r>
        <w:rPr/>
        <w:t>I am interested in participating on the following task force:</w:t>
      </w:r>
    </w:p>
    <w:p>
      <w:pPr>
        <w:pStyle w:val="Normal"/>
        <w:jc w:val="both"/>
        <w:rPr/>
      </w:pPr>
      <w:r>
        <w:rPr/>
      </w:r>
    </w:p>
    <w:p>
      <w:pPr>
        <w:pStyle w:val="Normal"/>
        <w:jc w:val="both"/>
        <w:rPr/>
      </w:pPr>
      <w:r>
        <w:rPr/>
        <w:t>____ NRC Proposed Rule</w:t>
        <w:tab/>
        <w:t xml:space="preserve"> ____ Legislative &amp; Administrative Decommissioning Issues</w:t>
      </w:r>
    </w:p>
    <w:p>
      <w:pPr>
        <w:pStyle w:val="Normal"/>
        <w:jc w:val="both"/>
        <w:rPr/>
      </w:pPr>
      <w:r>
        <w:rPr/>
        <w:t>____ Energy Trading</w:t>
      </w:r>
    </w:p>
    <w:p>
      <w:pPr>
        <w:pStyle w:val="Normal"/>
        <w:jc w:val="both"/>
        <w:rPr/>
      </w:pPr>
      <w:r>
        <w:rPr/>
      </w:r>
    </w:p>
    <w:p>
      <w:pPr>
        <w:pStyle w:val="Normal"/>
        <w:rPr>
          <w:b/>
          <w:i/>
          <w:i/>
          <w:sz w:val="28"/>
        </w:rPr>
      </w:pPr>
      <w:r>
        <w:rPr>
          <w:b/>
          <w:i/>
          <w:sz w:val="28"/>
        </w:rPr>
        <w:t>Please fax to Joy Thomas at 202-756-8802 or e-mail her at jwthomas@mwe.com</w:t>
      </w:r>
    </w:p>
    <w:sectPr>
      <w:headerReference w:type="default" r:id="rId44"/>
      <w:headerReference w:type="first" r:id="rId45"/>
      <w:footerReference w:type="default" r:id="rId46"/>
      <w:footerReference w:type="first" r:id="rId47"/>
      <w:footnotePr>
        <w:numFmt w:val="decimal"/>
      </w:footnotePr>
      <w:type w:val="nextPage"/>
      <w:pgSz w:w="12240" w:h="15840"/>
      <w:pgMar w:left="1728" w:right="1728"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Liberation Sans">
    <w:altName w:val="Arial"/>
    <w:charset w:val="01" w:characterSet="utf-8"/>
    <w:family w:val="swiss"/>
    <w:pitch w:val="variable"/>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tab/>
      <w:t>-</w:t>
    </w:r>
    <w:r>
      <w:rPr/>
      <w:fldChar w:fldCharType="begin"/>
    </w:r>
    <w:r>
      <w:rPr/>
      <w:instrText xml:space="preserve"> PAGE \* ARABIC </w:instrText>
    </w:r>
    <w:r>
      <w:rPr/>
      <w:fldChar w:fldCharType="separate"/>
    </w:r>
    <w:r>
      <w:rPr/>
      <w:t>2</w:t>
    </w:r>
    <w:r>
      <w:rPr/>
      <w:fldChar w:fldCharType="end"/>
    </w:r>
    <w:r>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tab/>
      <w:t>-</w:t>
    </w:r>
    <w:r>
      <w:rPr/>
      <w:fldChar w:fldCharType="begin"/>
    </w:r>
    <w:r>
      <w:rPr/>
      <w:instrText xml:space="preserve"> PAGE \* ARABIC </w:instrText>
    </w:r>
    <w:r>
      <w:rPr/>
      <w:fldChar w:fldCharType="separate"/>
    </w:r>
    <w:r>
      <w:rPr/>
      <w:t>9</w:t>
    </w:r>
    <w:r>
      <w:rPr/>
      <w:fldChar w:fldCharType="end"/>
    </w:r>
    <w:r>
      <w:rPr/>
      <w:t>-</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tab/>
      <w:t>-</w:t>
    </w:r>
    <w:r>
      <w:rPr/>
      <w:fldChar w:fldCharType="begin"/>
    </w:r>
    <w:r>
      <w:rPr/>
      <w:instrText xml:space="preserve"> PAGE \* ARABIC </w:instrText>
    </w:r>
    <w:r>
      <w:rPr/>
      <w:fldChar w:fldCharType="separate"/>
    </w:r>
    <w:r>
      <w:rPr/>
      <w:t>0</w:t>
    </w:r>
    <w:r>
      <w:rPr/>
      <w:fldChar w:fldCharType="end"/>
    </w:r>
    <w:r>
      <w:rPr/>
      <w:t>-</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tab/>
      <w:t>-</w:t>
    </w:r>
    <w:r>
      <w:rPr/>
      <w:fldChar w:fldCharType="begin"/>
    </w:r>
    <w:r>
      <w:rPr/>
      <w:instrText xml:space="preserve"> PAGE \* ARABIC </w:instrText>
    </w:r>
    <w:r>
      <w:rPr/>
      <w:fldChar w:fldCharType="separate"/>
    </w:r>
    <w:r>
      <w:rPr/>
      <w:t>5</w:t>
    </w:r>
    <w:r>
      <w:rPr/>
      <w:fldChar w:fldCharType="end"/>
    </w:r>
    <w:r>
      <w:rPr/>
      <w:t>-</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tab/>
      <w:t>-</w:t>
    </w:r>
    <w:r>
      <w:rPr/>
      <w:fldChar w:fldCharType="begin"/>
    </w:r>
    <w:r>
      <w:rPr/>
      <w:instrText xml:space="preserve"> PAGE \* ARABIC </w:instrText>
    </w:r>
    <w:r>
      <w:rPr/>
      <w:fldChar w:fldCharType="separate"/>
    </w:r>
    <w:r>
      <w:rPr/>
      <w:t>14</w:t>
    </w:r>
    <w:r>
      <w:rPr/>
      <w:fldChar w:fldCharType="end"/>
    </w:r>
    <w:r>
      <w:rPr/>
      <w:t>-</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tab/>
      <w:t>-</w:t>
    </w:r>
    <w:r>
      <w:rPr/>
      <w:fldChar w:fldCharType="begin"/>
    </w:r>
    <w:r>
      <w:rPr/>
      <w:instrText xml:space="preserve"> PAGE \* ARABIC </w:instrText>
    </w:r>
    <w:r>
      <w:rPr/>
      <w:fldChar w:fldCharType="separate"/>
    </w:r>
    <w:r>
      <w:rPr/>
      <w:t>0</w:t>
    </w:r>
    <w: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tab/>
      <w:t>-</w:t>
    </w:r>
    <w:r>
      <w:rPr/>
      <w:fldChar w:fldCharType="begin"/>
    </w:r>
    <w:r>
      <w:rPr/>
      <w:instrText xml:space="preserve"> PAGE \* ARABIC </w:instrText>
    </w:r>
    <w:r>
      <w:rPr/>
      <w:fldChar w:fldCharType="separate"/>
    </w:r>
    <w:r>
      <w:rPr/>
      <w:t>0</w:t>
    </w:r>
    <w:r>
      <w:rPr/>
      <w:fldChar w:fldCharType="end"/>
    </w:r>
    <w: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tab/>
      <w:t>-</w:t>
    </w:r>
    <w:r>
      <w:rPr/>
      <w:fldChar w:fldCharType="begin"/>
    </w:r>
    <w:r>
      <w:rPr/>
      <w:instrText xml:space="preserve"> PAGE \* ARABIC </w:instrText>
    </w:r>
    <w:r>
      <w:rPr/>
      <w:fldChar w:fldCharType="separate"/>
    </w:r>
    <w:r>
      <w:rPr/>
      <w:t>0</w:t>
    </w:r>
    <w:r>
      <w:rPr/>
      <w:fldChar w:fldCharType="end"/>
    </w:r>
    <w: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tab/>
      <w:t>-</w:t>
    </w:r>
    <w:r>
      <w:rPr/>
      <w:fldChar w:fldCharType="begin"/>
    </w:r>
    <w:r>
      <w:rPr/>
      <w:instrText xml:space="preserve"> PAGE \* ARABIC </w:instrText>
    </w:r>
    <w:r>
      <w:rPr/>
      <w:fldChar w:fldCharType="separate"/>
    </w:r>
    <w:r>
      <w:rPr/>
      <w:t>0</w:t>
    </w:r>
    <w:r>
      <w:rPr/>
      <w:fldChar w:fldCharType="end"/>
    </w:r>
    <w:r>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tab/>
      <w:t>-</w:t>
    </w:r>
    <w:r>
      <w:rPr/>
      <w:fldChar w:fldCharType="begin"/>
    </w:r>
    <w:r>
      <w:rPr/>
      <w:instrText xml:space="preserve"> PAGE \* ARABIC </w:instrText>
    </w:r>
    <w:r>
      <w:rPr/>
      <w:fldChar w:fldCharType="separate"/>
    </w:r>
    <w:r>
      <w:rPr/>
      <w:t>7</w:t>
    </w:r>
    <w:r>
      <w:rPr/>
      <w:fldChar w:fldCharType="end"/>
    </w:r>
    <w:r>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Previously the NRC had required certain clauses to be included in decommissioning trust funds as a condition of NRC staff approval of license transfers.  In view of deregulation, the NRC believes that these conditions are also appropriate for inclusion in the trust agreements of all NRC power reactor licensees.</w:t>
      </w:r>
    </w:p>
  </w:footnote>
  <w:footnote w:id="3">
    <w:p>
      <w:pPr>
        <w:pStyle w:val="FootnoteText"/>
        <w:rPr/>
      </w:pPr>
      <w:r>
        <w:rPr>
          <w:rStyle w:val="FootnoteCharacters"/>
        </w:rPr>
        <w:footnoteRef/>
      </w:r>
      <w:r>
        <w:rPr/>
        <w:t xml:space="preserve"> </w:t>
      </w:r>
      <w:r>
        <w:rPr/>
        <w:t>The terms affiliate, subsidiary, successor and assignee are defined in Regulatory Guide section 2.2.3.2.</w:t>
      </w:r>
    </w:p>
  </w:footnote>
  <w:footnote w:id="4">
    <w:p>
      <w:pPr>
        <w:pStyle w:val="FootnoteText"/>
        <w:rPr/>
      </w:pPr>
      <w:r>
        <w:rPr>
          <w:rStyle w:val="FootnoteCharacters"/>
        </w:rPr>
        <w:footnoteRef/>
      </w:r>
      <w:r>
        <w:rPr/>
        <w:t xml:space="preserve"> </w:t>
      </w:r>
      <w:r>
        <w:rPr/>
        <w:t>Regulatory Guide sections 2.2.3.4. and 2.2.3.5. state that investments selected with the approval or guidance from the State PUC with jurisdiction over the licensee or from the FERC would be acceptable to the NRC staff.  Licensees not subject to PUC or FERC jurisdiction should limit investments to "investment-grade" securities, such as investment-grade bonds and preferred stocks.  Investment-grade securities are rated at least "BBB" or equivalent by a national rating service.  Speculative issues of common stocks (</w:t>
      </w:r>
      <w:r>
        <w:rPr>
          <w:i/>
        </w:rPr>
        <w:t>e.g.</w:t>
      </w:r>
      <w:r>
        <w:rPr/>
        <w:t>, "bulletin board" stocks on the NASDAQ exchange, "pink sheet" stocks, and stocks not traded on major exchanges) and high yield ("junk") bonds should be avoided.</w:t>
      </w:r>
    </w:p>
  </w:footnote>
  <w:footnote w:id="5">
    <w:p>
      <w:pPr>
        <w:pStyle w:val="FootnoteText"/>
        <w:rPr/>
      </w:pPr>
      <w:r>
        <w:rPr>
          <w:rStyle w:val="FootnoteCharacters"/>
        </w:rPr>
        <w:footnoteRef/>
      </w:r>
      <w:r>
        <w:rPr/>
        <w:t xml:space="preserve"> </w:t>
      </w:r>
      <w:r>
        <w:rPr/>
        <w:t>Regulatory Guide section 2.2.2.5. states that an amendment is material if it revises any key provision of the trust, particularly including the investment provisions, terms relating to the provision of information to the NRC, terms relating to payments from the trust, and terms relating to amendments to the trust.  Licensees should interpret the phrase "amended in any material respect" broadly.</w:t>
      </w:r>
    </w:p>
  </w:footnote>
  <w:footnote w:id="6">
    <w:p>
      <w:pPr>
        <w:pStyle w:val="FootnoteText"/>
        <w:rPr/>
      </w:pPr>
      <w:r>
        <w:rPr>
          <w:rStyle w:val="FootnoteCharacters"/>
        </w:rPr>
        <w:t>1</w:t>
      </w:r>
      <w:r>
        <w:rPr/>
        <w:t xml:space="preserve"> </w:t>
      </w:r>
      <w:r>
        <w:rPr/>
        <w:t>We are currently researching this issue and will discuss it in a future mailing.</w:t>
      </w:r>
    </w:p>
  </w:footnote>
  <w:footnote w:id="7">
    <w:p>
      <w:pPr>
        <w:pStyle w:val="FootnoteText"/>
        <w:rPr/>
      </w:pPr>
      <w:r>
        <w:rPr>
          <w:rStyle w:val="FootnoteCharacters"/>
        </w:rPr>
        <w:t>*</w:t>
      </w:r>
      <w:r>
        <w:rPr>
          <w:sz w:val="22"/>
        </w:rPr>
        <w:t xml:space="preserve"> </w:t>
      </w:r>
      <w:r>
        <w:rPr>
          <w:sz w:val="22"/>
        </w:rPr>
        <w:t>This estimate addresses the revenue effects of the provisions which eliminate the level funding limitation and qualifying percentage.</w:t>
      </w:r>
    </w:p>
  </w:footnote>
  <w:footnote w:id="8">
    <w:p>
      <w:pPr>
        <w:pStyle w:val="FootnoteText"/>
        <w:keepLines/>
        <w:rPr/>
      </w:pPr>
      <w:r>
        <w:rPr>
          <w:rStyle w:val="FootnoteCharacters"/>
        </w:rPr>
        <w:footnoteRef/>
      </w:r>
      <w:r>
        <w:rPr/>
        <w:t xml:space="preserve">  </w:t>
      </w:r>
      <w:r>
        <w:rPr/>
        <w:t>All section references in this letter refer to the Internal Revenue Code of 1986, as amended (the “Code”).</w:t>
      </w:r>
    </w:p>
  </w:footnote>
  <w:footnote w:id="9">
    <w:p>
      <w:pPr>
        <w:pStyle w:val="FootnoteText"/>
        <w:keepLines/>
        <w:rPr/>
      </w:pPr>
      <w:r>
        <w:rPr>
          <w:rStyle w:val="FootnoteCharacters"/>
        </w:rPr>
        <w:footnoteRef/>
      </w:r>
      <w:r>
        <w:rPr/>
        <w:t xml:space="preserve">  </w:t>
      </w:r>
      <w:r>
        <w:rPr/>
        <w:t>Prop. Treas. Reg. §1.1221-2(b).</w:t>
      </w:r>
    </w:p>
  </w:footnote>
  <w:footnote w:id="10">
    <w:p>
      <w:pPr>
        <w:pStyle w:val="FootnoteText"/>
        <w:rPr/>
      </w:pPr>
      <w:r>
        <w:rPr>
          <w:rStyle w:val="FootnoteCharacters"/>
        </w:rPr>
        <w:footnoteRef/>
      </w:r>
      <w:r>
        <w:rPr/>
        <w:t xml:space="preserve">  </w:t>
      </w:r>
      <w:r>
        <w:rPr/>
        <w:t>Prop. Treas. Reg. §1.1221-2(c)(1)(vii).</w:t>
      </w:r>
    </w:p>
  </w:footnote>
  <w:footnote w:id="11">
    <w:p>
      <w:pPr>
        <w:pStyle w:val="FootnoteText"/>
        <w:rPr/>
      </w:pPr>
      <w:r>
        <w:rPr>
          <w:rStyle w:val="FootnoteCharacters"/>
        </w:rPr>
        <w:footnoteRef/>
      </w:r>
      <w:r>
        <w:rPr/>
        <w:t xml:space="preserve">  </w:t>
      </w:r>
      <w:r>
        <w:rPr/>
        <w:t xml:space="preserve">For these purposes, a “Dealer in Commodities” includes a dealer in physical commodities and/or a dealer in commodities derivatives financial instruments (as defined in Code §1221(b)(1)).  However, a “Dealer in Commodities” need </w:t>
      </w:r>
      <w:r>
        <w:rPr>
          <w:u w:val="single"/>
        </w:rPr>
        <w:t>not</w:t>
      </w:r>
      <w:r>
        <w:rPr/>
        <w:t xml:space="preserve"> be a dealer in both physical commodities and commodities derivatives financial instruments; acting as a dealer in one or the other would, by itself, cause the taxpayer to be considered a “Dealer in Commodities.”  The term does not, however, include a “commodities dealer” as defined in Code §1402(i)(2)(B) as a person who is actively engaged in trading section 1256 contracts and who is registered with a domestic board of trade that is designated as a contract market by the CFTC.  </w:t>
      </w:r>
    </w:p>
  </w:footnote>
  <w:footnote w:id="12">
    <w:p>
      <w:pPr>
        <w:pStyle w:val="FootnoteText"/>
        <w:rPr/>
      </w:pPr>
      <w:r>
        <w:rPr>
          <w:rStyle w:val="FootnoteCharacters"/>
        </w:rPr>
        <w:footnoteRef/>
      </w:r>
      <w:r>
        <w:rPr/>
        <w:t xml:space="preserve">  </w:t>
      </w:r>
      <w:r>
        <w:rPr/>
        <w:t>For these purposes, “commodity derivatives” are over-the-counter and exchange traded derivative financial instruments (including section 1256 contracts) that are based on, or determined by reference to, the value of a commodity used in connection with the dealer activities of a Dealer in Commodities.</w:t>
      </w:r>
    </w:p>
  </w:footnote>
  <w:footnote w:id="13">
    <w:p>
      <w:pPr>
        <w:pStyle w:val="FootnoteText"/>
        <w:rPr/>
      </w:pPr>
      <w:r>
        <w:rPr>
          <w:rStyle w:val="FootnoteCharacters"/>
        </w:rPr>
        <w:footnoteRef/>
      </w:r>
      <w:r>
        <w:rPr/>
        <w:t xml:space="preserve">  </w:t>
      </w:r>
      <w:r>
        <w:rPr/>
        <w:t>Treas. Reg. §1.1221-2(b).</w:t>
      </w:r>
    </w:p>
  </w:footnote>
  <w:footnote w:id="14">
    <w:p>
      <w:pPr>
        <w:pStyle w:val="FootnoteText"/>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5" w:leader="none"/>
        </w:tabs>
        <w:rPr/>
      </w:pPr>
      <w:r>
        <w:rPr>
          <w:rStyle w:val="FootnoteCharacters"/>
        </w:rPr>
        <w:footnoteRef/>
      </w:r>
      <w:r>
        <w:rPr/>
        <w:t xml:space="preserve">  </w:t>
      </w:r>
      <w:r>
        <w:rPr/>
        <w:t>Treas. Reg. §1.1221</w:t>
        <w:noBreakHyphen/>
        <w:t>2(c)(1)(i).</w:t>
      </w:r>
    </w:p>
  </w:footnote>
  <w:footnote w:id="15">
    <w:p>
      <w:pPr>
        <w:pStyle w:val="FootnoteText"/>
        <w:rPr/>
      </w:pPr>
      <w:r>
        <w:rPr>
          <w:rStyle w:val="FootnoteCharacters"/>
        </w:rPr>
        <w:footnoteRef/>
      </w:r>
      <w:r>
        <w:rPr/>
        <w:t xml:space="preserve">  </w:t>
      </w:r>
      <w:r>
        <w:rPr/>
        <w:t>Code §1221(b)(1)(B).</w:t>
      </w:r>
    </w:p>
  </w:footnote>
  <w:footnote w:id="16">
    <w:p>
      <w:pPr>
        <w:pStyle w:val="FootnoteText"/>
        <w:rPr/>
      </w:pPr>
      <w:r>
        <w:rPr>
          <w:rStyle w:val="FootnoteCharacters"/>
        </w:rPr>
        <w:footnoteRef/>
      </w:r>
      <w:r>
        <w:rPr/>
        <w:t xml:space="preserve">  </w:t>
      </w:r>
      <w:r>
        <w:rPr/>
        <w:t xml:space="preserve">If a taxpayer is a dealer in a particular physical commodity, gain or loss on the settlement of an OTC financial transaction relating to such property is made ordinary by reference to the character of the underlying property in the taxpayer's hands.  </w:t>
      </w:r>
      <w:r>
        <w:rPr>
          <w:i/>
        </w:rPr>
        <w:t xml:space="preserve">See, e.g., </w:t>
      </w:r>
      <w:r>
        <w:rPr/>
        <w:t>Code §1234 (options), and Code §1234A (forwards and similar financial instruments, including a termination payment attributable to a notional principal contract).</w:t>
      </w:r>
    </w:p>
  </w:footnote>
  <w:footnote w:id="17">
    <w:p>
      <w:pPr>
        <w:pStyle w:val="FootnoteText"/>
        <w:rPr/>
      </w:pPr>
      <w:r>
        <w:rPr>
          <w:rStyle w:val="FootnoteCharacters"/>
        </w:rPr>
        <w:footnoteRef/>
      </w:r>
      <w:r>
        <w:rPr/>
        <w:t xml:space="preserve">  </w:t>
      </w:r>
      <w:r>
        <w:rPr/>
        <w:t>OTC commodities derivatives transactions that are identified by a Dealer in Commodities as having been entered into in a dealer capacity would not be characterized as risk management transactions under Code §1221(a)(7), but would instead be treated as dealer positions for purposes of Code §1221(a)(6).</w:t>
      </w:r>
    </w:p>
  </w:footnote>
  <w:footnote w:id="18">
    <w:p>
      <w:pPr>
        <w:pStyle w:val="FootnoteText"/>
        <w:rPr/>
      </w:pPr>
      <w:r>
        <w:rPr>
          <w:rStyle w:val="FootnoteCharacters"/>
        </w:rPr>
        <w:footnoteRef/>
      </w:r>
      <w:r>
        <w:rPr/>
        <w:t xml:space="preserve"> </w:t>
      </w:r>
      <w:r>
        <w:rPr/>
        <w:t>Treas. Reg. §1.446-4(e)(1).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upperRoman"/>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nish w:val="false"/>
        <w:rFonts w:ascii="Times New Roman Bold;Times New Roman" w:hAnsi="Times New Roman Bold;Times New Roman" w:cs="Times New Roman Bold;Times New Roman"/>
        <w:color w:val="auto"/>
      </w:rPr>
    </w:lvl>
    <w:lvl w:ilvl="1">
      <w:start w:val="1"/>
      <w:numFmt w:val="upperLetter"/>
      <w:lvlText w:val="%2."/>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decimal"/>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decimal"/>
      <w:lvlText w:val="(%5)"/>
      <w:lvlJc w:val="start"/>
      <w:pPr>
        <w:tabs>
          <w:tab w:val="num" w:pos="3600"/>
        </w:tabs>
        <w:ind w:start="3600" w:hanging="720"/>
      </w:pPr>
      <w:rPr>
        <w:smallCaps w:val="false"/>
        <w:caps w:val="false"/>
        <w:outline w:val="false"/>
        <w:dstrike w:val="false"/>
        <w:strike w:val="false"/>
        <w:vertAlign w:val="baseline"/>
        <w:position w:val="0"/>
        <w:sz w:val="24"/>
        <w:sz w:val="24"/>
        <w:i w:val="false"/>
        <w:shadow w:val="false"/>
        <w:u w:val="none"/>
        <w:b w:val="false"/>
        <w:vanish w:val="false"/>
        <w:rFonts w:ascii="Arial" w:hAnsi="Arial" w:cs="Arial"/>
        <w:color w:val="auto"/>
      </w:rPr>
    </w:lvl>
    <w:lvl w:ilvl="5">
      <w:start w:val="1"/>
      <w:numFmt w:val="lowerLetter"/>
      <w:lvlText w:val="(%6)"/>
      <w:lvlJc w:val="start"/>
      <w:pPr>
        <w:tabs>
          <w:tab w:val="num" w:pos="4320"/>
        </w:tabs>
        <w:ind w:start="4320" w:hanging="720"/>
      </w:pPr>
      <w:rPr>
        <w:smallCaps w:val="false"/>
        <w:caps w:val="false"/>
        <w:outline w:val="false"/>
        <w:dstrike w:val="false"/>
        <w:strike w:val="false"/>
        <w:vertAlign w:val="baseline"/>
        <w:position w:val="0"/>
        <w:sz w:val="24"/>
        <w:sz w:val="24"/>
        <w:i w:val="false"/>
        <w:shadow w:val="false"/>
        <w:u w:val="none"/>
        <w:b w:val="false"/>
        <w:vanish w:val="false"/>
        <w:rFonts w:ascii="Arial" w:hAnsi="Arial" w:cs="Arial"/>
        <w:color w:val="auto"/>
      </w:rPr>
    </w:lvl>
    <w:lvl w:ilvl="6">
      <w:start w:val="1"/>
      <w:numFmt w:val="lowerRoman"/>
      <w:lvlText w:val="(%7)"/>
      <w:lvlJc w:val="start"/>
      <w:pPr>
        <w:tabs>
          <w:tab w:val="num" w:pos="5040"/>
        </w:tabs>
        <w:ind w:start="5040" w:hanging="720"/>
      </w:pPr>
      <w:rPr>
        <w:smallCaps w:val="false"/>
        <w:caps w:val="false"/>
        <w:outline w:val="false"/>
        <w:dstrike w:val="false"/>
        <w:strike w:val="false"/>
        <w:vertAlign w:val="baseline"/>
        <w:position w:val="0"/>
        <w:sz w:val="24"/>
        <w:sz w:val="24"/>
        <w:i w:val="false"/>
        <w:shadow w:val="false"/>
        <w:u w:val="none"/>
        <w:b w:val="false"/>
        <w:vanish w:val="false"/>
        <w:rFonts w:ascii="Arial" w:hAnsi="Arial" w:cs="Arial"/>
        <w:color w:val="auto"/>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sz w:val="24"/>
        <w:i w:val="false"/>
        <w:shadow w:val="false"/>
        <w:u w:val="none"/>
        <w:b w:val="false"/>
        <w:vanish w:val="false"/>
        <w:rFonts w:ascii="Arial" w:hAnsi="Arial" w:cs="Arial"/>
        <w:color w:val="auto"/>
      </w:rPr>
    </w:lvl>
    <w:lvl w:ilvl="8">
      <w:start w:val="1"/>
      <w:numFmt w:val="lowerRoman"/>
      <w:lvlText w:val="%9)"/>
      <w:lvlJc w:val="start"/>
      <w:pPr>
        <w:tabs>
          <w:tab w:val="num" w:pos="6480"/>
        </w:tabs>
        <w:ind w:start="6480" w:hanging="720"/>
      </w:pPr>
      <w:rPr>
        <w:smallCaps w:val="false"/>
        <w:caps w:val="false"/>
        <w:outline w:val="false"/>
        <w:dstrike w:val="false"/>
        <w:strike w:val="false"/>
        <w:vertAlign w:val="baseline"/>
        <w:position w:val="0"/>
        <w:sz w:val="24"/>
        <w:sz w:val="24"/>
        <w:i w:val="false"/>
        <w:shadow w:val="false"/>
        <w:u w:val="none"/>
        <w:b w:val="false"/>
        <w:vanish w:val="false"/>
        <w:rFonts w:ascii="Arial" w:hAnsi="Arial" w:cs="Arial"/>
        <w:color w:val="auto"/>
      </w:rPr>
    </w:lvl>
  </w:abstractNum>
  <w:abstractNum w:abstractNumId="3">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WW8Num4z0">
    <w:name w:val="WW8Num4z0"/>
    <w:qFormat/>
    <w:rPr>
      <w:rFonts w:ascii="Times New Roman Bold;Times New Roman" w:hAnsi="Times New Roman Bold;Times New Roman" w:cs="Times New Roman Bold;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4z1">
    <w:name w:val="WW8Num4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4z4">
    <w:name w:val="WW8Num4z4"/>
    <w:qFormat/>
    <w:rPr>
      <w:rFonts w:ascii="Arial" w:hAnsi="Arial" w:cs="Arial"/>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St11z0">
    <w:name w:val="WW8NumSt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Emphasis">
    <w:name w:val="Emphasis"/>
    <w:basedOn w:val="DefaultParagraphFont"/>
    <w:qFormat/>
    <w:rPr>
      <w:i/>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Continued">
    <w:name w:val="Body Text Continued"/>
    <w:basedOn w:val="BodyText"/>
    <w:next w:val="BodyText"/>
    <w:qFormat/>
    <w:pPr>
      <w:ind w:hanging="0" w:start="0" w:end="0"/>
    </w:pPr>
    <w:rPr/>
  </w:style>
  <w:style w:type="paragraph" w:styleId="BodyTextIndent">
    <w:name w:val="Body Text Indent"/>
    <w:basedOn w:val="BodyText"/>
    <w:next w:val="BodyText"/>
    <w:pPr>
      <w:ind w:hanging="0" w:start="1440" w:end="0"/>
    </w:pPr>
    <w:rPr/>
  </w:style>
  <w:style w:type="paragraph" w:styleId="Centered">
    <w:name w:val="Centered"/>
    <w:basedOn w:val="Normal"/>
    <w:next w:val="BodyText"/>
    <w:qFormat/>
    <w:pPr>
      <w:spacing w:lineRule="exact" w:line="240" w:before="0" w:after="240"/>
      <w:jc w:val="center"/>
    </w:pPr>
    <w:rPr/>
  </w:style>
  <w:style w:type="paragraph" w:styleId="Quote">
    <w:name w:val="Quote"/>
    <w:basedOn w:val="Normal"/>
    <w:next w:val="BodyTextContinued"/>
    <w:qFormat/>
    <w:pPr>
      <w:spacing w:before="0" w:after="240"/>
      <w:ind w:hanging="0" w:start="1440" w:end="1440"/>
    </w:pPr>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Memo-BodyText">
    <w:name w:val="Memo - Body Text"/>
    <w:basedOn w:val="Normal"/>
    <w:qFormat/>
    <w:pPr>
      <w:spacing w:before="0" w:after="240"/>
      <w:ind w:firstLine="1440" w:start="0" w:end="0"/>
      <w:jc w:val="both"/>
    </w:pPr>
    <w:rPr/>
  </w:style>
  <w:style w:type="paragraph" w:styleId="Outline1bL1">
    <w:name w:val="Outline1b_L1"/>
    <w:basedOn w:val="Normal"/>
    <w:next w:val="BodyText"/>
    <w:qFormat/>
    <w:pPr>
      <w:widowControl w:val="false"/>
      <w:numPr>
        <w:ilvl w:val="0"/>
        <w:numId w:val="2"/>
      </w:numPr>
      <w:suppressAutoHyphens w:val="true"/>
      <w:spacing w:before="0" w:after="240"/>
      <w:outlineLvl w:val="0"/>
    </w:pPr>
    <w:rPr/>
  </w:style>
  <w:style w:type="paragraph" w:styleId="Outline1bL2">
    <w:name w:val="Outline1b_L2"/>
    <w:basedOn w:val="Outline1bL1"/>
    <w:next w:val="BodyText"/>
    <w:qFormat/>
    <w:pPr>
      <w:numPr>
        <w:ilvl w:val="0"/>
        <w:numId w:val="2"/>
      </w:numPr>
      <w:tabs>
        <w:tab w:val="clear" w:pos="720"/>
      </w:tabs>
      <w:spacing w:lineRule="auto" w:line="480"/>
      <w:outlineLvl w:val="1"/>
    </w:pPr>
    <w:rPr/>
  </w:style>
  <w:style w:type="paragraph" w:styleId="Outline1bL3">
    <w:name w:val="Outline1b_L3"/>
    <w:basedOn w:val="Outline1bL2"/>
    <w:next w:val="BodyText"/>
    <w:qFormat/>
    <w:pPr>
      <w:numPr>
        <w:ilvl w:val="0"/>
        <w:numId w:val="2"/>
      </w:numPr>
      <w:outlineLvl w:val="2"/>
    </w:pPr>
    <w:rPr/>
  </w:style>
  <w:style w:type="paragraph" w:styleId="Outline1bL4">
    <w:name w:val="Outline1b_L4"/>
    <w:basedOn w:val="Outline1bL3"/>
    <w:next w:val="BodyText"/>
    <w:qFormat/>
    <w:pPr>
      <w:numPr>
        <w:ilvl w:val="0"/>
        <w:numId w:val="2"/>
      </w:numPr>
      <w:outlineLvl w:val="3"/>
    </w:pPr>
    <w:rPr/>
  </w:style>
  <w:style w:type="paragraph" w:styleId="Outline1bL5">
    <w:name w:val="Outline1b_L5"/>
    <w:basedOn w:val="Outline1bL4"/>
    <w:next w:val="BodyText"/>
    <w:qFormat/>
    <w:pPr>
      <w:numPr>
        <w:ilvl w:val="0"/>
        <w:numId w:val="2"/>
      </w:numPr>
      <w:outlineLvl w:val="4"/>
    </w:pPr>
    <w:rPr/>
  </w:style>
  <w:style w:type="paragraph" w:styleId="Outline1bL6">
    <w:name w:val="Outline1b_L6"/>
    <w:basedOn w:val="Outline1bL5"/>
    <w:next w:val="BodyText"/>
    <w:qFormat/>
    <w:pPr>
      <w:numPr>
        <w:ilvl w:val="0"/>
        <w:numId w:val="2"/>
      </w:numPr>
      <w:outlineLvl w:val="5"/>
    </w:pPr>
    <w:rPr/>
  </w:style>
  <w:style w:type="paragraph" w:styleId="Outline1bL7">
    <w:name w:val="Outline1b_L7"/>
    <w:basedOn w:val="Outline1bL6"/>
    <w:next w:val="BodyText"/>
    <w:qFormat/>
    <w:pPr>
      <w:numPr>
        <w:ilvl w:val="0"/>
        <w:numId w:val="2"/>
      </w:numPr>
      <w:outlineLvl w:val="6"/>
    </w:pPr>
    <w:rPr/>
  </w:style>
  <w:style w:type="paragraph" w:styleId="Outline1bL8">
    <w:name w:val="Outline1b_L8"/>
    <w:basedOn w:val="Outline1bL7"/>
    <w:next w:val="BodyText"/>
    <w:qFormat/>
    <w:pPr>
      <w:numPr>
        <w:ilvl w:val="0"/>
        <w:numId w:val="2"/>
      </w:numPr>
      <w:outlineLvl w:val="7"/>
    </w:pPr>
    <w:rPr/>
  </w:style>
  <w:style w:type="paragraph" w:styleId="Outline1bL9">
    <w:name w:val="Outline1b_L9"/>
    <w:basedOn w:val="Outline1bL8"/>
    <w:next w:val="BodyText"/>
    <w:qFormat/>
    <w:pPr>
      <w:numPr>
        <w:ilvl w:val="0"/>
        <w:numId w:val="2"/>
      </w:numPr>
      <w:outlineLvl w:val="8"/>
    </w:pPr>
    <w:rPr/>
  </w:style>
  <w:style w:type="paragraph" w:styleId="Memo-ReLine">
    <w:name w:val="Memo - ReLine"/>
    <w:basedOn w:val="Normal"/>
    <w:qFormat/>
    <w:pPr>
      <w:ind w:hanging="1440" w:start="1440" w:end="0"/>
    </w:pPr>
    <w:rPr/>
  </w:style>
  <w:style w:type="paragraph" w:styleId="Bodytext1">
    <w:name w:val="Body text1"/>
    <w:qFormat/>
    <w:pPr>
      <w:widowControl/>
      <w:bidi w:val="0"/>
      <w:spacing w:lineRule="atLeast" w:line="260"/>
    </w:pPr>
    <w:rPr>
      <w:rFonts w:ascii="Palatino;Book Antiqua" w:hAnsi="Palatino;Book Antiqua" w:eastAsia="Times New Roman" w:cs="Palatino;Book Antiqua"/>
      <w:color w:val="000000"/>
      <w:sz w:val="20"/>
      <w:szCs w:val="20"/>
      <w:lang w:val="en-US" w:eastAsia="en-US" w:bidi="hi-IN"/>
    </w:rPr>
  </w:style>
  <w:style w:type="paragraph" w:styleId="LetterSignature">
    <w:name w:val="Letter Signature"/>
    <w:basedOn w:val="Normal"/>
    <w:qFormat/>
    <w:pPr>
      <w:keepNext w:val="true"/>
      <w:keepLines/>
      <w:ind w:hanging="0" w:start="4680" w:end="0"/>
    </w:pPr>
    <w:rPr/>
  </w:style>
  <w:style w:type="paragraph" w:styleId="H3">
    <w:name w:val="H3"/>
    <w:basedOn w:val="Normal"/>
    <w:next w:val="Normal"/>
    <w:qFormat/>
    <w:pPr>
      <w:keepNext w:val="true"/>
      <w:spacing w:before="100" w:after="100"/>
      <w:outlineLvl w:val="3"/>
    </w:pPr>
    <w:rPr>
      <w:b/>
      <w:sz w:val="28"/>
      <w:lang w:eastAsia="en-US"/>
    </w:rPr>
  </w:style>
  <w:style w:type="paragraph" w:styleId="H4">
    <w:name w:val="H4"/>
    <w:basedOn w:val="Normal"/>
    <w:next w:val="Normal"/>
    <w:qFormat/>
    <w:pPr>
      <w:keepNext w:val="true"/>
      <w:spacing w:before="100" w:after="100"/>
      <w:outlineLvl w:val="4"/>
    </w:pPr>
    <w:rPr>
      <w:b/>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header" Target="header15.xml"/><Relationship Id="rId32" Type="http://schemas.openxmlformats.org/officeDocument/2006/relationships/header" Target="header16.xml"/><Relationship Id="rId33" Type="http://schemas.openxmlformats.org/officeDocument/2006/relationships/footer" Target="footer15.xml"/><Relationship Id="rId34" Type="http://schemas.openxmlformats.org/officeDocument/2006/relationships/footer" Target="footer16.xml"/><Relationship Id="rId35" Type="http://schemas.openxmlformats.org/officeDocument/2006/relationships/header" Target="header17.xml"/><Relationship Id="rId36" Type="http://schemas.openxmlformats.org/officeDocument/2006/relationships/header" Target="header18.xml"/><Relationship Id="rId37" Type="http://schemas.openxmlformats.org/officeDocument/2006/relationships/footer" Target="footer17.xml"/><Relationship Id="rId38" Type="http://schemas.openxmlformats.org/officeDocument/2006/relationships/footer" Target="footer18.xml"/><Relationship Id="rId39" Type="http://schemas.openxmlformats.org/officeDocument/2006/relationships/header" Target="header19.xml"/><Relationship Id="rId40" Type="http://schemas.openxmlformats.org/officeDocument/2006/relationships/header" Target="header20.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image" Target="media/image1.jpeg"/><Relationship Id="rId44" Type="http://schemas.openxmlformats.org/officeDocument/2006/relationships/header" Target="header21.xml"/><Relationship Id="rId45" Type="http://schemas.openxmlformats.org/officeDocument/2006/relationships/header" Target="header22.xml"/><Relationship Id="rId46" Type="http://schemas.openxmlformats.org/officeDocument/2006/relationships/footer" Target="footer21.xml"/><Relationship Id="rId47" Type="http://schemas.openxmlformats.org/officeDocument/2006/relationships/footer" Target="footer22.xml"/><Relationship Id="rId48" Type="http://schemas.openxmlformats.org/officeDocument/2006/relationships/footnotes" Target="footnotes.xml"/><Relationship Id="rId49" Type="http://schemas.openxmlformats.org/officeDocument/2006/relationships/numbering" Target="numbering.xml"/><Relationship Id="rId50" Type="http://schemas.openxmlformats.org/officeDocument/2006/relationships/fontTable" Target="fontTable.xml"/><Relationship Id="rId51" Type="http://schemas.openxmlformats.org/officeDocument/2006/relationships/settings" Target="settings.xml"/><Relationship Id="rId5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2001-05-14T16:30:00Z</dcterms:created>
  <dc:creator>MW&amp;E</dc:creator>
  <dc:description/>
  <dc:language>en-CA</dc:language>
  <cp:lastModifiedBy>MW&amp;E</cp:lastModifiedBy>
  <cp:lastPrinted>2001-05-14T14:58:00Z</cp:lastPrinted>
  <dcterms:modified xsi:type="dcterms:W3CDTF">2001-05-14T16:30:00Z</dcterms:modified>
  <cp:revision>2</cp:revision>
  <dc:subject/>
  <dc:title>April 16,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1">
    <vt:lpwstr>000-1000-10-1</vt:lpwstr>
  </property>
  <property fmtid="{D5CDD505-2E9C-101B-9397-08002B2CF9AE}" pid="3" name="Section10">
    <vt:lpwstr>000-1000-1001</vt:lpwstr>
  </property>
  <property fmtid="{D5CDD505-2E9C-101B-9397-08002B2CF9AE}" pid="4" name="Section2">
    <vt:lpwstr>000-1000-1001</vt:lpwstr>
  </property>
  <property fmtid="{D5CDD505-2E9C-101B-9397-08002B2CF9AE}" pid="5" name="Section3">
    <vt:lpwstr>000-1000-1001</vt:lpwstr>
  </property>
  <property fmtid="{D5CDD505-2E9C-101B-9397-08002B2CF9AE}" pid="6" name="Section4">
    <vt:lpwstr>000-1000-1001</vt:lpwstr>
  </property>
  <property fmtid="{D5CDD505-2E9C-101B-9397-08002B2CF9AE}" pid="7" name="Section5">
    <vt:lpwstr>000-1000-1001</vt:lpwstr>
  </property>
  <property fmtid="{D5CDD505-2E9C-101B-9397-08002B2CF9AE}" pid="8" name="Section7">
    <vt:lpwstr>000-1000-1001</vt:lpwstr>
  </property>
  <property fmtid="{D5CDD505-2E9C-101B-9397-08002B2CF9AE}" pid="9" name="Section8">
    <vt:lpwstr>000-1000-1001</vt:lpwstr>
  </property>
  <property fmtid="{D5CDD505-2E9C-101B-9397-08002B2CF9AE}" pid="10" name="Section9">
    <vt:lpwstr>000-1000-1001</vt:lpwstr>
  </property>
</Properties>
</file>