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C:\WINDOWS\TEMP\WDC99_406261_9</w:t>
      </w:r>
    </w:p>
    <w:p>
      <w:pPr>
        <w:pStyle w:val="Normal"/>
        <w:rPr/>
      </w:pPr>
      <w:r>
        <w:rPr/>
        <w:t>and revised document: C:\WINDOWS\TEMP\WDC99_406261.10</w:t>
      </w:r>
    </w:p>
    <w:p>
      <w:pPr>
        <w:pStyle w:val="Normal"/>
        <w:rPr/>
      </w:pPr>
      <w:r>
        <w:rPr/>
      </w:r>
    </w:p>
    <w:p>
      <w:pPr>
        <w:pStyle w:val="Normal"/>
        <w:rPr/>
      </w:pPr>
      <w:r>
        <w:rPr/>
        <w:t>CompareRite found    1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This Transfer and Assumption Agreement ("</w:t>
      </w:r>
      <w:r>
        <w:rPr>
          <w:u w:val="single"/>
        </w:rPr>
        <w:t>Agreement"</w:t>
      </w:r>
      <w:r>
        <w:rPr/>
        <w:t>) is made as of 12:01 a.m. EPT,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widowControl/>
        <w:rPr/>
      </w:pPr>
      <w:r>
        <w:rPr>
          <w:b/>
        </w:rPr>
        <w:t>WHEREAS</w:t>
      </w:r>
      <w:r>
        <w:rPr/>
        <w:t xml:space="preserve">,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widowControl/>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sold their energy trading business (“</w:t>
      </w:r>
      <w:r>
        <w:rPr>
          <w:u w:val="single"/>
        </w:rPr>
        <w:t>Business</w:t>
      </w:r>
      <w:r>
        <w:rPr/>
        <w:t xml:space="preserve">”) to Buyers; </w:t>
      </w:r>
    </w:p>
    <w:p>
      <w:pPr>
        <w:pStyle w:val="Normal"/>
        <w:widowControl/>
        <w:jc w:val="both"/>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ab/>
      </w:r>
      <w:r>
        <w:rPr>
          <w:rFonts w:cs="Times New Roman" w:ascii="Times New Roman" w:hAnsi="Times New Roman"/>
          <w:b/>
        </w:rPr>
        <w:t>WHEREAS</w:t>
      </w:r>
      <w:r>
        <w:rPr>
          <w:rFonts w:cs="Times New Roman" w:ascii="Times New Roman" w:hAnsi="Times New Roman"/>
        </w:rPr>
        <w:t>, Transferor desires to transfer, and Transferee desires to accept the transfer of and to assume, the Transactions;</w:t>
      </w:r>
    </w:p>
    <w:p>
      <w:pPr>
        <w:pStyle w:val="Normal"/>
        <w:widowControl/>
        <w:jc w:val="both"/>
        <w:rPr>
          <w:rFonts w:ascii="Times New Roman" w:hAnsi="Times New Roman" w:cs="Times New Roman"/>
        </w:rPr>
      </w:pPr>
      <w:r>
        <w:rPr>
          <w:rFonts w:cs="Times New Roman" w:ascii="Times New Roman" w:hAnsi="Times New Roman"/>
        </w:rPr>
      </w:r>
    </w:p>
    <w:p>
      <w:pPr>
        <w:pStyle w:val="BodyTextJ"/>
        <w:widowControl/>
        <w:rPr/>
      </w:pPr>
      <w:r>
        <w:rPr>
          <w:b/>
        </w:rPr>
        <w:t>WHEREAS</w:t>
      </w:r>
      <w:r>
        <w:rPr/>
        <w:t>, Transferor has supplied Counterparty with collateral to secure Transferor's payment obligations under the Transactions (the "</w:t>
      </w:r>
      <w:r>
        <w:rPr>
          <w:u w:val="single"/>
        </w:rPr>
        <w:t>Transferor Collateral</w:t>
      </w:r>
      <w:r>
        <w:rPr/>
        <w:t>");</w:t>
      </w:r>
    </w:p>
    <w:p>
      <w:pPr>
        <w:pStyle w:val="BodyTextJ"/>
        <w:widowControl/>
        <w:rPr/>
      </w:pPr>
      <w:r>
        <w:rPr>
          <w:b/>
        </w:rPr>
        <w:t>WHEREAS</w:t>
      </w:r>
      <w:r>
        <w:rPr/>
        <w:t>, concurrently with the execution of this Agreement, Transferee will provide a letter of credit to Counterparty in the amount of $184,000,000 (the "</w:t>
      </w:r>
      <w:r>
        <w:rPr>
          <w:u w:val="single"/>
        </w:rPr>
        <w:t>Transferee Collateral</w:t>
      </w:r>
      <w:r>
        <w:rPr/>
        <w:t xml:space="preserve">") to secure  Transferee's payment obligations under the Transactions following the transfer of the Transactions to Transferee; </w:t>
      </w:r>
    </w:p>
    <w:p>
      <w:pPr>
        <w:pStyle w:val="BodyTextJ"/>
        <w:widowControl/>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widowControl/>
        <w:rPr/>
      </w:pPr>
      <w:r>
        <w:rPr>
          <w:b/>
        </w:rPr>
        <w:t>WHEREAS,</w:t>
      </w:r>
      <w:r>
        <w:rPr/>
        <w:t xml:space="preserve"> as of the Effective Time,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 side letter between the Transferee and ENAC dated on or about the date hereof with reference to an ISDA Master Agreement (the “</w:t>
      </w:r>
      <w:r>
        <w:rPr>
          <w:u w:val="single"/>
        </w:rPr>
        <w:t>ENAC Contract</w:t>
      </w:r>
      <w:r>
        <w:rPr/>
        <w:t>,” and, together with the EPMI Contract, the “</w:t>
      </w:r>
      <w:r>
        <w:rPr>
          <w:u w:val="single"/>
        </w:rPr>
        <w:t>Contracts</w:t>
      </w:r>
      <w:r>
        <w:rPr/>
        <w:t>").</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widowControl/>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t>(d)</w:t>
        <w:tab/>
        <w:t>Transferee shall deliver the Transferee Collateral to the Counterparties in order to secure Transferee's obligations under the Transactions.</w:t>
      </w:r>
    </w:p>
    <w:p>
      <w:pPr>
        <w:pStyle w:val="BodyTextJ"/>
        <w:widowControl/>
        <w:ind w:hanging="0" w:start="720" w:end="0"/>
        <w:rPr>
          <w:color w:val="000000"/>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widowControl/>
        <w:spacing w:before="0" w:after="240"/>
        <w:rPr/>
      </w:pPr>
      <w:r>
        <w:rPr/>
      </w:r>
    </w:p>
    <w:p>
      <w:pPr>
        <w:pStyle w:val="BlockTextJ"/>
        <w:widowControl/>
        <w:spacing w:before="0" w:after="240"/>
        <w:rPr/>
      </w:pPr>
      <w:r>
        <w:rPr/>
        <w:t>3.</w:t>
        <w:tab/>
      </w:r>
      <w:r>
        <w:rPr>
          <w:u w:val="single"/>
        </w:rPr>
        <w:t>Termination and Release.</w:t>
      </w:r>
    </w:p>
    <w:p>
      <w:pPr>
        <w:pStyle w:val="Normal"/>
        <w:widowControl/>
        <w:tabs>
          <w:tab w:val="clear" w:pos="720"/>
          <w:tab w:val="left" w:pos="0" w:leader="none"/>
        </w:tabs>
        <w:suppressAutoHyphens w:val="true"/>
        <w:spacing w:lineRule="atLeast" w:line="240" w:before="0" w:after="240"/>
        <w:jc w:val="both"/>
        <w:rPr/>
      </w:pPr>
      <w:r>
        <w:rPr/>
        <w:tab/>
      </w:r>
      <w:r>
        <w:rPr>
          <w:rFonts w:cs="Times New Roman" w:ascii="Times New Roman" w:hAnsi="Times New Roman"/>
        </w:rPr>
        <w:t>Transferee and each Counterparty hereby agree that (i) Transferor shall have no liability to Transferee or either Counterparty under the Transactions, and (ii) ML&amp;Co. shall have no liability to Transferee or either Counterparty under the ML&amp;Co. Guarantee with respect to the Transactions, for any obligation, claim, damage, action, penalty, fee or other liability (collectively, "Losses")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either Counterparty and/or Transferee shall be determined in accordance with the terms and conditions of the Transactions, the Merrill Agreements and/or this Agreement, as applicable.</w:t>
      </w:r>
      <w:r>
        <w:rPr>
          <w:rFonts w:cs="Times New Roman" w:ascii="Times New Roman" w:hAnsi="Times New Roman"/>
          <w:b/>
          <w:u w:val="double"/>
        </w:rPr>
        <w:t xml:space="preserve"> Transferee shall assume no liability hereunder for any Losses that arose prior to the Effective Time with respect to the Transactions.</w:t>
      </w:r>
    </w:p>
    <w:p>
      <w:pPr>
        <w:pStyle w:val="BodyTextJ"/>
        <w:widowControl/>
        <w:jc w:val="start"/>
        <w:rPr/>
      </w:pPr>
      <w:r>
        <w:rPr>
          <w:u w:val="single"/>
        </w:rPr>
        <w:br/>
      </w:r>
      <w:r>
        <w:rPr/>
        <w:t>4.</w:t>
        <w:tab/>
      </w:r>
      <w:r>
        <w:rPr>
          <w:u w:val="single"/>
        </w:rPr>
        <w:t>Confidentiality</w:t>
      </w:r>
      <w:r>
        <w:rPr/>
        <w:t>.</w:t>
      </w:r>
    </w:p>
    <w:p>
      <w:pPr>
        <w:pStyle w:val="Normal"/>
        <w:widowContro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r>
        <w:br w:type="page"/>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widowControl/>
        <w:ind w:hanging="0" w:end="0"/>
        <w:rPr/>
      </w:pPr>
      <w:r>
        <w:rPr/>
        <w:t>7.</w:t>
        <w:tab/>
      </w:r>
      <w:r>
        <w:rPr>
          <w:u w:val="single"/>
        </w:rPr>
        <w:t>Arbitration.</w:t>
      </w:r>
      <w:r>
        <w:rPr/>
        <w:t xml:space="preserve">  </w:t>
      </w:r>
    </w:p>
    <w:p>
      <w:pPr>
        <w:pStyle w:val="BodyTextJ"/>
        <w:widowControl/>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widowControl/>
        <w:rPr/>
      </w:pPr>
      <w:r>
        <w:rPr/>
        <w:t>8.</w:t>
        <w:tab/>
      </w:r>
      <w:r>
        <w:rPr>
          <w:u w:val="single"/>
        </w:rPr>
        <w:t>Jurisdiction and Costs.</w:t>
      </w:r>
    </w:p>
    <w:p>
      <w:pPr>
        <w:pStyle w:val="BlockTextJ"/>
        <w:widowControl/>
        <w:rPr>
          <w:u w:val="single"/>
        </w:rPr>
      </w:pPr>
      <w:r>
        <w:rPr>
          <w:u w:val="single"/>
        </w:rPr>
      </w:r>
    </w:p>
    <w:p>
      <w:pPr>
        <w:pStyle w:val="BodyTextJ"/>
        <w:widowControl/>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widowControl/>
        <w:ind w:hanging="0" w:end="0"/>
        <w:rPr/>
      </w:pPr>
      <w:r>
        <w:rPr/>
        <w:tab/>
        <w:t>This Agreement may be amended or any of its provisions waived only by a written instrument signed by the Parties.</w:t>
      </w:r>
    </w:p>
    <w:p>
      <w:pPr>
        <w:pStyle w:val="BodyTextJ"/>
        <w:widowControl/>
        <w:ind w:hanging="0" w:end="0"/>
        <w:rPr/>
      </w:pPr>
      <w:r>
        <w:rPr/>
      </w:r>
    </w:p>
    <w:p>
      <w:pPr>
        <w:pStyle w:val="BlockTextJ"/>
        <w:keepNext w:val="true"/>
        <w:keepLines/>
        <w:widowControl/>
        <w:rPr/>
      </w:pPr>
      <w:r>
        <w:rPr/>
        <w:t>10.</w:t>
        <w:tab/>
      </w:r>
      <w:r>
        <w:rPr>
          <w:u w:val="single"/>
        </w:rPr>
        <w:t>Entire Agreement.</w:t>
      </w:r>
    </w:p>
    <w:p>
      <w:pPr>
        <w:pStyle w:val="BodyTextJ"/>
        <w:keepNext w:val="true"/>
        <w:keepLines/>
        <w:widowControl/>
        <w:spacing w:before="0" w:after="0"/>
        <w:rPr/>
      </w:pPr>
      <w:r>
        <w:rPr/>
      </w:r>
    </w:p>
    <w:p>
      <w:pPr>
        <w:pStyle w:val="BodyTextJ"/>
        <w:keepNext w:val="true"/>
        <w:keepLines/>
        <w:widowControl/>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widowControl/>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widowControl/>
        <w:ind w:hanging="0" w:end="0"/>
        <w:rPr/>
      </w:pPr>
      <w:r>
        <w:rPr/>
      </w:r>
    </w:p>
    <w:p>
      <w:pPr>
        <w:pStyle w:val="BodyText"/>
        <w:widowControl/>
        <w:rPr/>
      </w:pPr>
      <w:r>
        <w:rPr>
          <w:b/>
        </w:rPr>
        <w:t>IN WITNESS WHEREOF</w:t>
      </w:r>
      <w:r>
        <w:rPr/>
        <w:t>, the parties hereto have executed and delivered this Transfer and Assumption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widowControl/>
        <w:ind w:hanging="0" w:end="0"/>
        <w:jc w:val="center"/>
        <w:rPr>
          <w:rFonts w:ascii="Times New Roman" w:hAnsi="Times New Roman" w:cs="Times New Roman"/>
          <w:b/>
          <w:u w:val="single"/>
        </w:rPr>
      </w:pPr>
      <w:r>
        <w:rPr>
          <w:rFonts w:cs="Times New Roman"/>
          <w:b/>
          <w:u w:val="single"/>
        </w:rPr>
      </w:r>
    </w:p>
    <w:p>
      <w:pPr>
        <w:pStyle w:val="Normal"/>
        <w:widowControl/>
        <w:jc w:val="center"/>
        <w:rPr>
          <w:rFonts w:ascii="Times New Roman" w:hAnsi="Times New Roman" w:cs="Times New Roman"/>
          <w:b/>
        </w:rPr>
      </w:pPr>
      <w:r>
        <w:rPr>
          <w:rFonts w:cs="Times New Roman" w:ascii="Times New Roman" w:hAnsi="Times New Roman"/>
          <w:b/>
        </w:rPr>
        <w:t>SCHEDULE II</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widowContro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widowControl/>
        <w:jc w:val="center"/>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SCHEDULE III</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u w:val="single"/>
        </w:rPr>
      </w:pPr>
      <w:r>
        <w:rPr>
          <w:rFonts w:cs="Times New Roman" w:ascii="Times New Roman" w:hAnsi="Times New Roman"/>
          <w:b/>
          <w:u w:val="single"/>
        </w:rPr>
        <w:t>Merrill Agreements</w:t>
      </w:r>
    </w:p>
    <w:p>
      <w:pPr>
        <w:pStyle w:val="Normal"/>
        <w:widowControl/>
        <w:jc w:val="center"/>
        <w:rPr>
          <w:rFonts w:ascii="Times New Roman" w:hAnsi="Times New Roman" w:cs="Times New Roman"/>
          <w:b/>
          <w:u w:val="single"/>
        </w:rPr>
      </w:pPr>
      <w:r>
        <w:rPr>
          <w:rFonts w:cs="Times New Roman" w:ascii="Times New Roman" w:hAnsi="Times New Roman"/>
          <w:b/>
          <w:u w:val="single"/>
        </w:rPr>
      </w:r>
    </w:p>
    <w:p>
      <w:pPr>
        <w:pStyle w:val="Normal"/>
        <w:widowContro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widowControl/>
        <w:rPr>
          <w:rFonts w:ascii="Times New Roman" w:hAnsi="Times New Roman" w:cs="Times New Roman"/>
        </w:rPr>
      </w:pPr>
      <w:r>
        <w:rPr>
          <w:rFonts w:cs="Times New Roman" w:ascii="Times New Roman" w:hAnsi="Times New Roman"/>
        </w:rPr>
      </w:r>
    </w:p>
    <w:p>
      <w:pPr>
        <w:pStyle w:val="Normal"/>
        <w:widowControl/>
        <w:rPr>
          <w:rFonts w:ascii="Times New Roman" w:hAnsi="Times New Roman" w:cs="Times New Roman"/>
        </w:rPr>
      </w:pPr>
      <w:r>
        <w:rPr>
          <w:rFonts w:cs="Times New Roman" w:ascii="Times New Roman" w:hAnsi="Times New Roman"/>
        </w:rPr>
      </w:r>
    </w:p>
    <w:p>
      <w:pPr>
        <w:pStyle w:val="Normal"/>
        <w:widowControl/>
        <w:rPr>
          <w:rFonts w:ascii="Times New Roman" w:hAnsi="Times New Roman" w:cs="Times New Roman"/>
        </w:rPr>
      </w:pPr>
      <w:r>
        <w:rPr>
          <w:rFonts w:cs="Times New Roman" w:ascii="Times New Roman" w:hAnsi="Times New Roman"/>
        </w:rPr>
        <w:t>2.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p>
    <w:pPr>
      <w:pStyle w:val="Footer"/>
      <w:widowControl/>
      <w:rPr/>
    </w:pPr>
    <w:r>
      <w:rPr>
        <w:rStyle w:val="PageNumber"/>
        <w:sz w:val="15"/>
      </w:rPr>
      <w:t>WDC99 407630-1.056589.00144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407630-1.056589.00144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DocID"/>
        <w:sz w:val="15"/>
      </w:rPr>
      <w:t>WDC99 407630-1.056589.00144</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2001-03-20T14:03:00Z</dcterms:created>
  <dc:creator>MW&amp;E</dc:creator>
  <dc:description/>
  <dc:language>en-CA</dc:language>
  <cp:lastModifiedBy>MW&amp;E</cp:lastModifiedBy>
  <cp:lastPrinted>2001-03-19T11:49:00Z</cp:lastPrinted>
  <dcterms:modified xsi:type="dcterms:W3CDTF">2001-03-20T14:03:00Z</dcterms:modified>
  <cp:revision>3</cp:revision>
  <dc:subject/>
  <dc:title>TRANSFER AND ASSUMPTION AGREEMENT </dc:title>
</cp:coreProperties>
</file>