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C:\WINDOWS\TEMP\WDC99_406261_8</w:t>
      </w:r>
    </w:p>
    <w:p>
      <w:pPr>
        <w:pStyle w:val="Normal"/>
        <w:rPr/>
      </w:pPr>
      <w:r>
        <w:rPr/>
        <w:t>and revised document: C:\WINDOWS\TEMP\WDC99_406261.9</w:t>
      </w:r>
    </w:p>
    <w:p>
      <w:pPr>
        <w:pStyle w:val="Normal"/>
        <w:rPr/>
      </w:pPr>
      <w:r>
        <w:rPr/>
      </w:r>
    </w:p>
    <w:p>
      <w:pPr>
        <w:pStyle w:val="Normal"/>
        <w:rPr/>
      </w:pPr>
      <w:r>
        <w:rPr/>
        <w:t>CompareRite found   17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This Transfer and Assumption Agreement ("</w:t>
      </w:r>
      <w:r>
        <w:rPr>
          <w:u w:val="single"/>
        </w:rPr>
        <w:t>Agreement"</w:t>
      </w:r>
      <w:r>
        <w:rPr/>
        <w:t xml:space="preserve">) is made as of </w:t>
      </w:r>
      <w:r>
        <w:rPr>
          <w:strike/>
        </w:rPr>
        <w:t>___</w:t>
      </w:r>
      <w:r>
        <w:rPr>
          <w:b/>
          <w:u w:val="double"/>
        </w:rPr>
        <w:t>12:01 a.m. EPT</w:t>
      </w:r>
      <w:r>
        <w:rPr/>
        <w:t>, March 19, 2001 (the "</w:t>
      </w:r>
      <w:r>
        <w:rPr>
          <w:u w:val="single"/>
        </w:rPr>
        <w:t>Effective Time</w:t>
      </w:r>
      <w:r>
        <w:rPr/>
        <w:t>"), by and among Enron Power Marketing, Inc. ("</w:t>
      </w:r>
      <w:r>
        <w:rPr>
          <w:u w:val="single"/>
        </w:rPr>
        <w:t>EPMI</w:t>
      </w:r>
      <w:r>
        <w:rPr/>
        <w:t>") and Enron North America Corp. ("</w:t>
      </w:r>
      <w:r>
        <w:rPr>
          <w:u w:val="single"/>
        </w:rPr>
        <w:t>ENAC</w:t>
      </w:r>
      <w:r>
        <w:rPr/>
        <w:t>") (EPMI and ENAC each, individually, a "</w:t>
      </w:r>
      <w:r>
        <w:rPr>
          <w:u w:val="single"/>
        </w:rPr>
        <w:t>Counterparty"</w:t>
      </w:r>
      <w:r>
        <w:rPr/>
        <w:t xml:space="preserve">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 (Counterparties, Transferor, ML&amp;Co. and Transferee, each, individually a "Party," and collectively the "Parties").</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widowControl/>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widowControl/>
        <w:rPr/>
      </w:pPr>
      <w:r>
        <w:rPr>
          <w:b/>
        </w:rPr>
        <w:t>WHEREAS</w:t>
      </w:r>
      <w:r>
        <w:rPr/>
        <w:t xml:space="preserve">, Transferor and Counterparties have entered into the agreements set forth on </w:t>
      </w:r>
      <w:r>
        <w:rPr>
          <w:b/>
        </w:rPr>
        <w:t>Schedule III</w:t>
      </w:r>
      <w:r>
        <w:rPr/>
        <w:t xml:space="preserve"> annexed hereto (each a "</w:t>
      </w:r>
      <w:r>
        <w:rPr>
          <w:u w:val="single"/>
        </w:rPr>
        <w:t>Merrill Agreement</w:t>
      </w:r>
      <w:r>
        <w:rPr/>
        <w:t>," and collectively, the "</w:t>
      </w:r>
      <w:r>
        <w:rPr>
          <w:u w:val="single"/>
        </w:rPr>
        <w:t>Merrill Agreements</w:t>
      </w:r>
      <w:r>
        <w:rPr/>
        <w:t>");</w:t>
      </w:r>
    </w:p>
    <w:p>
      <w:pPr>
        <w:pStyle w:val="BodyTextJ"/>
        <w:widowControl/>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xml:space="preserve">"), pursuant to which Sellers have </w:t>
      </w:r>
      <w:r>
        <w:rPr>
          <w:strike/>
        </w:rPr>
        <w:t>agreed to sell</w:t>
      </w:r>
      <w:r>
        <w:rPr/>
        <w:t xml:space="preserve"> </w:t>
      </w:r>
      <w:r>
        <w:rPr>
          <w:b/>
          <w:u w:val="double"/>
        </w:rPr>
        <w:t>sold</w:t>
      </w:r>
      <w:r>
        <w:rPr/>
        <w:t xml:space="preserve"> their energy trading business (“</w:t>
      </w:r>
      <w:r>
        <w:rPr>
          <w:u w:val="single"/>
        </w:rPr>
        <w:t>Business</w:t>
      </w:r>
      <w:r>
        <w:rPr/>
        <w:t xml:space="preserve">”) to Buyers; </w:t>
      </w:r>
    </w:p>
    <w:p>
      <w:pPr>
        <w:pStyle w:val="Normal"/>
        <w:widowControl/>
        <w:jc w:val="both"/>
        <w:rPr/>
      </w:pPr>
      <w:r>
        <w:rPr>
          <w:rFonts w:cs="Times New Roman" w:ascii="Times New Roman" w:hAnsi="Times New Roman"/>
          <w:color w:val="000000"/>
        </w:rPr>
        <w:tab/>
        <w:tab/>
      </w:r>
      <w:r>
        <w:rPr>
          <w:rFonts w:cs="Times New Roman" w:ascii="Times New Roman" w:hAnsi="Times New Roman"/>
          <w:b/>
          <w:color w:val="000000"/>
        </w:rPr>
        <w:t>WHEREAS</w:t>
      </w:r>
      <w:r>
        <w:rPr>
          <w:rFonts w:cs="Times New Roman" w:ascii="Times New Roman" w:hAnsi="Times New Roman"/>
          <w:color w:val="000000"/>
        </w:rPr>
        <w:t>, on March 14, 2001 the Federal Energy</w:t>
      </w:r>
      <w:r>
        <w:rPr>
          <w:rFonts w:cs="Times New Roman" w:ascii="Times New Roman" w:hAnsi="Times New Roman"/>
        </w:rPr>
        <w:t xml:space="preserve"> Regulatory Commission entered </w:t>
      </w:r>
      <w:r>
        <w:rPr>
          <w:rFonts w:cs="Times New Roman" w:ascii="Times New Roman" w:hAnsi="Times New Roman"/>
          <w:color w:val="000000"/>
        </w:rPr>
        <w:t>an Order Authorizing Transfer of Jurisdictional Facilities</w:t>
      </w:r>
      <w:r>
        <w:rPr>
          <w:rFonts w:cs="Times New Roman" w:ascii="Times New Roman" w:hAnsi="Times New Roman"/>
        </w:rPr>
        <w:t>, which authorizes Transferor to transfer the EPMI Transactions to Transferee;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ab/>
      </w:r>
      <w:r>
        <w:rPr>
          <w:rFonts w:cs="Times New Roman" w:ascii="Times New Roman" w:hAnsi="Times New Roman"/>
          <w:b/>
        </w:rPr>
        <w:t>WHEREAS</w:t>
      </w:r>
      <w:r>
        <w:rPr>
          <w:rFonts w:cs="Times New Roman" w:ascii="Times New Roman" w:hAnsi="Times New Roman"/>
        </w:rPr>
        <w:t>, Transferor desires to transfer, and Transferee desires to accept the transfer of and to assume, the Transactions;</w:t>
      </w:r>
    </w:p>
    <w:p>
      <w:pPr>
        <w:pStyle w:val="Normal"/>
        <w:widowControl/>
        <w:jc w:val="both"/>
        <w:rPr>
          <w:rFonts w:ascii="Times New Roman" w:hAnsi="Times New Roman" w:cs="Times New Roman"/>
        </w:rPr>
      </w:pPr>
      <w:r>
        <w:rPr>
          <w:rFonts w:cs="Times New Roman" w:ascii="Times New Roman" w:hAnsi="Times New Roman"/>
        </w:rPr>
      </w:r>
    </w:p>
    <w:p>
      <w:pPr>
        <w:pStyle w:val="BodyTextJ"/>
        <w:widowControl/>
        <w:rPr/>
      </w:pPr>
      <w:r>
        <w:rPr>
          <w:b/>
        </w:rPr>
        <w:t>WHEREAS</w:t>
      </w:r>
      <w:r>
        <w:rPr/>
        <w:t xml:space="preserve">, Transferor has supplied Counterparty with collateral to secure </w:t>
      </w:r>
      <w:r>
        <w:rPr>
          <w:b/>
          <w:u w:val="double"/>
        </w:rPr>
        <w:t>Transferor's</w:t>
      </w:r>
      <w:r>
        <w:rPr/>
        <w:t xml:space="preserve"> payment </w:t>
      </w:r>
      <w:r>
        <w:rPr>
          <w:strike/>
        </w:rPr>
        <w:t>on</w:t>
      </w:r>
      <w:r>
        <w:rPr/>
        <w:t xml:space="preserve"> </w:t>
      </w:r>
      <w:r>
        <w:rPr>
          <w:b/>
          <w:u w:val="double"/>
        </w:rPr>
        <w:t>obligations under</w:t>
      </w:r>
      <w:r>
        <w:rPr/>
        <w:t xml:space="preserve"> the Transactions (the "</w:t>
      </w:r>
      <w:r>
        <w:rPr>
          <w:u w:val="single"/>
        </w:rPr>
        <w:t>Transferor Collateral</w:t>
      </w:r>
      <w:r>
        <w:rPr/>
        <w:t>");</w:t>
      </w:r>
    </w:p>
    <w:p>
      <w:pPr>
        <w:pStyle w:val="BodyTextJ"/>
        <w:widowControl/>
        <w:rPr/>
      </w:pPr>
      <w:r>
        <w:rPr>
          <w:b/>
        </w:rPr>
        <w:t>WHEREAS</w:t>
      </w:r>
      <w:r>
        <w:rPr/>
        <w:t xml:space="preserve">, </w:t>
      </w:r>
      <w:r>
        <w:rPr>
          <w:strike/>
        </w:rPr>
        <w:t>Transferee has agreed to</w:t>
      </w:r>
      <w:r>
        <w:rPr/>
        <w:t xml:space="preserve"> </w:t>
      </w:r>
      <w:r>
        <w:rPr>
          <w:b/>
          <w:u w:val="double"/>
        </w:rPr>
        <w:t>concurrently with the execution of this Agreement, Transferee will</w:t>
      </w:r>
      <w:r>
        <w:rPr/>
        <w:t xml:space="preserve"> provide a letter of credit to Counterparty in the amount of $184,000,000 (the "</w:t>
      </w:r>
      <w:r>
        <w:rPr>
          <w:u w:val="single"/>
        </w:rPr>
        <w:t>Transferee Collateral</w:t>
      </w:r>
      <w:r>
        <w:rPr/>
        <w:t xml:space="preserve">") to secure  </w:t>
      </w:r>
      <w:r>
        <w:rPr>
          <w:strike/>
        </w:rPr>
        <w:t>the Transactions in place of the Transferor Collateral</w:t>
      </w:r>
      <w:r>
        <w:rPr/>
        <w:t xml:space="preserve"> </w:t>
      </w:r>
      <w:r>
        <w:rPr>
          <w:b/>
          <w:u w:val="double"/>
        </w:rPr>
        <w:t>Transferee's payment obligations under the Transactions following the transfer of the Transactions to Transferee</w:t>
      </w:r>
      <w:r>
        <w:rPr/>
        <w:t xml:space="preserve">; </w:t>
      </w:r>
    </w:p>
    <w:p>
      <w:pPr>
        <w:pStyle w:val="BodyTextJ"/>
        <w:widowControl/>
        <w:rPr/>
      </w:pPr>
      <w:r>
        <w:rPr>
          <w:b/>
        </w:rPr>
        <w:t>WHEREAS</w:t>
      </w:r>
      <w:r>
        <w:rPr/>
        <w:t>, upon the receipt by the respective Counterparties of the Transferee Collateral, the Counterparties will return to Transferor the Transferor Collateral in accordance with the Merrill Agreements; and</w:t>
      </w:r>
    </w:p>
    <w:p>
      <w:pPr>
        <w:pStyle w:val="BodyTextJ"/>
        <w:widowControl/>
        <w:rPr/>
      </w:pPr>
      <w:r>
        <w:rPr>
          <w:b/>
        </w:rPr>
        <w:t>WHEREAS,</w:t>
      </w:r>
      <w:r>
        <w:rPr/>
        <w:t xml:space="preserve"> as of the Effective Time, the EPMI Transactions will be governed by  a Master Energy Purchase and Sale Agreement between the Transferee and EPMI dated as of March 1, 2000, as amended on or about the date hereof (the “</w:t>
      </w:r>
      <w:r>
        <w:rPr>
          <w:u w:val="single"/>
        </w:rPr>
        <w:t>EPMI Contract</w:t>
      </w:r>
      <w:r>
        <w:rPr/>
        <w:t xml:space="preserve">”), and the ENAC Transactions will be governed by the terms of </w:t>
      </w:r>
      <w:r>
        <w:rPr>
          <w:strike/>
        </w:rPr>
        <w:t>an ISDA Master Agreement</w:t>
      </w:r>
      <w:r>
        <w:rPr/>
        <w:t xml:space="preserve"> </w:t>
      </w:r>
      <w:r>
        <w:rPr>
          <w:b/>
          <w:u w:val="double"/>
        </w:rPr>
        <w:t>a side letter</w:t>
      </w:r>
      <w:r>
        <w:rPr/>
        <w:t xml:space="preserve"> between the Transferee and ENAC dated on or about the date hereof </w:t>
      </w:r>
      <w:r>
        <w:rPr>
          <w:b/>
          <w:u w:val="double"/>
        </w:rPr>
        <w:t>with reference to an ISDA Master Agreement</w:t>
      </w:r>
      <w:r>
        <w:rPr/>
        <w:t xml:space="preserve"> (the “</w:t>
      </w:r>
      <w:r>
        <w:rPr>
          <w:u w:val="single"/>
        </w:rPr>
        <w:t>ENAC Contract</w:t>
      </w:r>
      <w:r>
        <w:rPr/>
        <w:t>,” and, together with the EPMI Contract, the “</w:t>
      </w:r>
      <w:r>
        <w:rPr>
          <w:u w:val="single"/>
        </w:rPr>
        <w:t>Contracts</w:t>
      </w:r>
      <w:r>
        <w:rPr/>
        <w:t>").</w:t>
      </w:r>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Parties agree as follows:</w:t>
      </w:r>
    </w:p>
    <w:p>
      <w:pPr>
        <w:pStyle w:val="BlockTextJ"/>
        <w:widowControl/>
        <w:rPr/>
      </w:pPr>
      <w:r>
        <w:rPr/>
        <w:t>1.</w:t>
        <w:tab/>
      </w:r>
      <w:r>
        <w:rPr>
          <w:u w:val="single"/>
        </w:rPr>
        <w:t>Transfer and Assumption.</w:t>
      </w:r>
    </w:p>
    <w:p>
      <w:pPr>
        <w:pStyle w:val="BlockTextJ"/>
        <w:widowControl/>
        <w:rPr>
          <w:u w:val="single"/>
        </w:rPr>
      </w:pPr>
      <w:r>
        <w:rPr>
          <w:u w:val="single"/>
        </w:rPr>
      </w:r>
    </w:p>
    <w:p>
      <w:pPr>
        <w:pStyle w:val="BodyTextJ"/>
        <w:widowControl/>
        <w:ind w:hanging="0" w:start="720" w:end="0"/>
        <w:rPr/>
      </w:pPr>
      <w:r>
        <w:rPr/>
        <w:t>(a)</w:t>
        <w:tab/>
        <w:t>As of the Effective Time,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t>As of the Effective Time, Transferee accepts the sale, assignment, and transfer of the Transactions as provided in Section 1(a), and agrees to perform all obligations arising out of or to be performed under the Transactions thereafter.</w:t>
      </w:r>
    </w:p>
    <w:p>
      <w:pPr>
        <w:pStyle w:val="BodyTextJ"/>
        <w:widowControl/>
        <w:ind w:hanging="0" w:start="720" w:end="0"/>
        <w:rPr/>
      </w:pPr>
      <w:r>
        <w:rPr/>
        <w:t>(c)</w:t>
        <w:tab/>
        <w:t>As of the Effective Time, the EPMI Transactions will be governed by the EPMI Contract and the ENAC Transactions will be governed by the ENAC Contract, and the Transactions will no longer be governed by the Merrill Agreements.  The Parties hereby agree that as of the Effective Time the Transactions will no longer be guaranteed by the ML&amp;Co. Guarantees.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widowControl/>
        <w:ind w:hanging="0" w:start="720" w:end="0"/>
        <w:rPr/>
      </w:pPr>
      <w:r>
        <w:rPr/>
        <w:t>(d)</w:t>
        <w:tab/>
        <w:t xml:space="preserve">Transferee shall deliver the Transferee Collateral to the Counterparties </w:t>
      </w:r>
      <w:r>
        <w:rPr>
          <w:b/>
          <w:u w:val="double"/>
        </w:rPr>
        <w:t>in order to secure Transferee's obligations under the Transactions</w:t>
      </w:r>
      <w:r>
        <w:rPr/>
        <w:t>.</w:t>
      </w:r>
    </w:p>
    <w:p>
      <w:pPr>
        <w:pStyle w:val="BodyTextJ"/>
        <w:widowControl/>
        <w:ind w:hanging="0" w:start="720" w:end="0"/>
        <w:rPr>
          <w:color w:val="000000"/>
        </w:rPr>
      </w:pPr>
      <w:r>
        <w:rPr/>
        <w:t>(e)</w:t>
        <w:tab/>
        <w:t>Upon the delivery of the Transferee Collateral to the Counterparties and receipt from Transferor of a demand for return of the Transferor Collateral pursuant to the appropriate Merrill Agreement, each of the Counterparties shall release and promptly return to Transferor the Transferor Collateral.</w:t>
      </w:r>
    </w:p>
    <w:p>
      <w:pPr>
        <w:pStyle w:val="BodyTextJ"/>
        <w:widowControl/>
        <w:spacing w:before="0" w:after="0"/>
        <w:rPr/>
      </w:pPr>
      <w:r>
        <w:rPr/>
        <w:br/>
        <w:t>2.</w:t>
        <w:tab/>
      </w:r>
      <w:r>
        <w:rPr>
          <w:u w:val="single"/>
        </w:rPr>
        <w:t>Consent to Transfer.</w:t>
      </w:r>
      <w:r>
        <w:rPr/>
        <w:t xml:space="preserve"> </w:t>
      </w:r>
    </w:p>
    <w:p>
      <w:pPr>
        <w:pStyle w:val="BlockTextJ"/>
        <w:widowControl/>
        <w:rPr/>
      </w:pPr>
      <w:r>
        <w:rPr/>
      </w:r>
    </w:p>
    <w:p>
      <w:pPr>
        <w:pStyle w:val="BodyTextJ"/>
        <w:widowControl/>
        <w:ind w:hanging="0" w:end="0"/>
        <w:rPr/>
      </w:pPr>
      <w:r>
        <w:rPr/>
        <w:tab/>
        <w:t xml:space="preserve">Each Counterparty hereby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widowControl/>
        <w:spacing w:before="0" w:after="240"/>
        <w:rPr/>
      </w:pPr>
      <w:r>
        <w:rPr/>
      </w:r>
    </w:p>
    <w:p>
      <w:pPr>
        <w:pStyle w:val="BlockTextJ"/>
        <w:widowControl/>
        <w:spacing w:before="0" w:after="240"/>
        <w:rPr/>
      </w:pPr>
      <w:r>
        <w:rPr/>
        <w:t>3.</w:t>
        <w:tab/>
      </w:r>
      <w:r>
        <w:rPr>
          <w:u w:val="single"/>
        </w:rPr>
        <w:t>Termination and Release.</w:t>
      </w:r>
    </w:p>
    <w:p>
      <w:pPr>
        <w:pStyle w:val="Normal"/>
        <w:widowControl/>
        <w:tabs>
          <w:tab w:val="clear" w:pos="720"/>
          <w:tab w:val="left" w:pos="0" w:leader="none"/>
        </w:tabs>
        <w:suppressAutoHyphens w:val="true"/>
        <w:spacing w:lineRule="atLeast" w:line="240" w:before="0" w:after="240"/>
        <w:jc w:val="both"/>
        <w:rPr/>
      </w:pPr>
      <w:r>
        <w:rPr/>
        <w:tab/>
      </w:r>
      <w:r>
        <w:rPr>
          <w:rFonts w:cs="Times New Roman" w:ascii="Times New Roman" w:hAnsi="Times New Roman"/>
        </w:rPr>
        <w:t xml:space="preserve">Transferee and </w:t>
      </w:r>
      <w:r>
        <w:rPr>
          <w:rFonts w:cs="Times New Roman" w:ascii="Times New Roman" w:hAnsi="Times New Roman"/>
          <w:strike/>
        </w:rPr>
        <w:t>Counterparties</w:t>
      </w:r>
      <w:r>
        <w:rPr>
          <w:rFonts w:cs="Times New Roman" w:ascii="Times New Roman" w:hAnsi="Times New Roman"/>
        </w:rPr>
        <w:t xml:space="preserve"> </w:t>
      </w:r>
      <w:r>
        <w:rPr>
          <w:rFonts w:cs="Times New Roman" w:ascii="Times New Roman" w:hAnsi="Times New Roman"/>
          <w:b/>
          <w:u w:val="double"/>
        </w:rPr>
        <w:t>each Counterparty</w:t>
      </w:r>
      <w:r>
        <w:rPr>
          <w:rFonts w:cs="Times New Roman" w:ascii="Times New Roman" w:hAnsi="Times New Roman"/>
        </w:rPr>
        <w:t xml:space="preserve"> hereby agree that </w:t>
      </w:r>
      <w:r>
        <w:rPr>
          <w:rFonts w:cs="Times New Roman" w:ascii="Times New Roman" w:hAnsi="Times New Roman"/>
          <w:b/>
          <w:u w:val="double"/>
        </w:rPr>
        <w:t>(i)</w:t>
      </w:r>
      <w:r>
        <w:rPr>
          <w:rFonts w:cs="Times New Roman" w:ascii="Times New Roman" w:hAnsi="Times New Roman"/>
        </w:rPr>
        <w:t xml:space="preserve"> Transferor shall have no liability to Transferee or either Counterparty </w:t>
      </w:r>
      <w:r>
        <w:rPr>
          <w:rFonts w:cs="Times New Roman" w:ascii="Times New Roman" w:hAnsi="Times New Roman"/>
          <w:b/>
          <w:u w:val="double"/>
        </w:rPr>
        <w:t>under the Transactions, and (ii) ML&amp;Co. shall have no liability to Transferee or either Counterparty under the ML&amp;Co. Guarantee with respect to the Transactions,</w:t>
      </w:r>
      <w:r>
        <w:rPr>
          <w:rFonts w:cs="Times New Roman" w:ascii="Times New Roman" w:hAnsi="Times New Roman"/>
        </w:rPr>
        <w:t xml:space="preserve"> for any obligation, claim, damage, action, penalty, fee or other liability (collectively, "Losses") </w:t>
      </w:r>
      <w:r>
        <w:rPr>
          <w:rFonts w:cs="Times New Roman" w:ascii="Times New Roman" w:hAnsi="Times New Roman"/>
          <w:strike/>
        </w:rPr>
        <w:t>under the Transactions or under the ML&amp;Co. Guarantee of the obligations resulting from such Transactions, that may arise,</w:t>
      </w:r>
      <w:r>
        <w:rPr>
          <w:rFonts w:cs="Times New Roman" w:ascii="Times New Roman" w:hAnsi="Times New Roman"/>
        </w:rPr>
        <w:t xml:space="preserve"> </w:t>
      </w:r>
      <w:r>
        <w:rPr>
          <w:rFonts w:cs="Times New Roman" w:ascii="Times New Roman" w:hAnsi="Times New Roman"/>
          <w:b/>
          <w:u w:val="double"/>
        </w:rPr>
        <w:t xml:space="preserve">that may arise </w:t>
      </w:r>
      <w:r>
        <w:rPr>
          <w:rFonts w:cs="Times New Roman" w:ascii="Times New Roman" w:hAnsi="Times New Roman"/>
        </w:rPr>
        <w:t xml:space="preserve">or may be based upon events that may occur after the Effective Time, except to the extent that such Losses are based, in whole or in part, upon any act or omission of the Transferor that occurred prior to the Effective Time. In such event, the liability of Transferor, if any, to </w:t>
      </w:r>
      <w:r>
        <w:rPr>
          <w:rFonts w:cs="Times New Roman" w:ascii="Times New Roman" w:hAnsi="Times New Roman"/>
          <w:b/>
          <w:u w:val="double"/>
        </w:rPr>
        <w:t>either</w:t>
      </w:r>
      <w:r>
        <w:rPr>
          <w:rFonts w:cs="Times New Roman" w:ascii="Times New Roman" w:hAnsi="Times New Roman"/>
        </w:rPr>
        <w:t xml:space="preserve"> Counterparty </w:t>
      </w:r>
      <w:r>
        <w:rPr>
          <w:rFonts w:cs="Times New Roman" w:ascii="Times New Roman" w:hAnsi="Times New Roman"/>
          <w:b/>
          <w:u w:val="double"/>
        </w:rPr>
        <w:t>and/or Transferee</w:t>
      </w:r>
      <w:r>
        <w:rPr>
          <w:rFonts w:cs="Times New Roman" w:ascii="Times New Roman" w:hAnsi="Times New Roman"/>
        </w:rPr>
        <w:t xml:space="preserve"> shall be determined in accordance with the terms and conditions of the Transactions </w:t>
      </w:r>
      <w:r>
        <w:rPr>
          <w:rFonts w:cs="Times New Roman" w:ascii="Times New Roman" w:hAnsi="Times New Roman"/>
          <w:strike/>
        </w:rPr>
        <w:t>and/or the contracts in place between Transferor and Counterparties. Transferee agrees to indemnify Counterparties in the event that Transferor fails to meet its obligations under this Section 3.</w:t>
      </w:r>
      <w:r>
        <w:rPr>
          <w:rFonts w:cs="Times New Roman" w:ascii="Times New Roman" w:hAnsi="Times New Roman"/>
          <w:b/>
          <w:u w:val="double"/>
        </w:rPr>
        <w:t>, the Merrill Agreements and/or this Agreement, as applicable.</w:t>
      </w:r>
    </w:p>
    <w:p>
      <w:pPr>
        <w:pStyle w:val="BodyTextJ"/>
        <w:widowControl/>
        <w:jc w:val="start"/>
        <w:rPr/>
      </w:pPr>
      <w:r>
        <w:rPr>
          <w:u w:val="single"/>
        </w:rPr>
        <w:br/>
      </w:r>
      <w:r>
        <w:rPr/>
        <w:t>4.</w:t>
        <w:tab/>
      </w:r>
      <w:r>
        <w:rPr>
          <w:u w:val="single"/>
        </w:rPr>
        <w:t>Confidentiality</w:t>
      </w:r>
      <w:r>
        <w:rPr/>
        <w:t>.</w:t>
      </w:r>
    </w:p>
    <w:p>
      <w:pPr>
        <w:pStyle w:val="Normal"/>
        <w:widowContro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shall be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  (i) information which was already in a Party's possession prior to its receipt from any other Party; (ii) information which is obtained from a third person who, insofar as is known to the Party, is not prohibited from transmitting the information to the Party by a contractual, legal or fiduciary obligation to any other Party; or  (iii) information which is or becomes publicly available through no fault of the Party.</w:t>
      </w:r>
      <w:r>
        <w:br w:type="page"/>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widowControl/>
        <w:ind w:hanging="0" w:end="0"/>
        <w:rPr/>
      </w:pPr>
      <w:r>
        <w:rPr/>
        <w:t>7.</w:t>
        <w:tab/>
      </w:r>
      <w:r>
        <w:rPr>
          <w:u w:val="single"/>
        </w:rPr>
        <w:t>Arbitration.</w:t>
      </w:r>
      <w:r>
        <w:rPr/>
        <w:t xml:space="preserve">  </w:t>
      </w:r>
    </w:p>
    <w:p>
      <w:pPr>
        <w:pStyle w:val="BodyTextJ"/>
        <w:widowControl/>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widowControl/>
        <w:rPr/>
      </w:pPr>
      <w:r>
        <w:rPr/>
        <w:t>8.</w:t>
        <w:tab/>
      </w:r>
      <w:r>
        <w:rPr>
          <w:u w:val="single"/>
        </w:rPr>
        <w:t>Jurisdiction and Costs.</w:t>
      </w:r>
    </w:p>
    <w:p>
      <w:pPr>
        <w:pStyle w:val="BlockTextJ"/>
        <w:widowControl/>
        <w:rPr>
          <w:u w:val="single"/>
        </w:rPr>
      </w:pPr>
      <w:r>
        <w:rPr>
          <w:u w:val="single"/>
        </w:rPr>
      </w:r>
    </w:p>
    <w:p>
      <w:pPr>
        <w:pStyle w:val="BodyTextJ"/>
        <w:widowControl/>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widowControl/>
        <w:ind w:hanging="0" w:end="0"/>
        <w:rPr/>
      </w:pPr>
      <w:r>
        <w:rPr/>
        <w:tab/>
        <w:t>This Agreement may be amended or any of its provisions waived only by a written instrument signed by the Parties.</w:t>
      </w:r>
    </w:p>
    <w:p>
      <w:pPr>
        <w:pStyle w:val="BodyTextJ"/>
        <w:widowControl/>
        <w:ind w:hanging="0" w:end="0"/>
        <w:rPr/>
      </w:pPr>
      <w:r>
        <w:rPr/>
      </w:r>
    </w:p>
    <w:p>
      <w:pPr>
        <w:pStyle w:val="BlockTextJ"/>
        <w:keepNext w:val="true"/>
        <w:keepLines/>
        <w:widowControl/>
        <w:rPr/>
      </w:pPr>
      <w:r>
        <w:rPr/>
        <w:t>10.</w:t>
        <w:tab/>
      </w:r>
      <w:r>
        <w:rPr>
          <w:u w:val="single"/>
        </w:rPr>
        <w:t>Entire Agreement.</w:t>
      </w:r>
    </w:p>
    <w:p>
      <w:pPr>
        <w:pStyle w:val="BodyTextJ"/>
        <w:keepNext w:val="true"/>
        <w:keepLines/>
        <w:widowControl/>
        <w:spacing w:before="0" w:after="0"/>
        <w:rPr/>
      </w:pPr>
      <w:r>
        <w:rPr/>
      </w:r>
    </w:p>
    <w:p>
      <w:pPr>
        <w:pStyle w:val="BodyTextJ"/>
        <w:keepNext w:val="true"/>
        <w:keepLines/>
        <w:widowControl/>
        <w:ind w:hanging="0" w:end="0"/>
        <w:rPr/>
      </w:pPr>
      <w:r>
        <w:rPr/>
        <w:tab/>
        <w:t xml:space="preserve">This Agreement (including </w:t>
      </w:r>
      <w:r>
        <w:rPr>
          <w:b/>
        </w:rPr>
        <w:t>Schedule I-III</w:t>
      </w:r>
      <w:r>
        <w:rPr/>
        <w:t>) constitutes the entire agreement and understanding of the Parties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widowControl/>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widowControl/>
        <w:ind w:hanging="0" w:end="0"/>
        <w:rPr/>
      </w:pPr>
      <w:r>
        <w:rPr/>
        <w:tab/>
        <w:t>This Agreement may not be assigned by any Party without the prior written consent of the other Parties.  This Agreement shall be binding and inure to the benefit of and be enforceable by the Parties and their respective successors and permitted assigns.</w:t>
      </w:r>
    </w:p>
    <w:p>
      <w:pPr>
        <w:pStyle w:val="BodyTextJ"/>
        <w:widowControl/>
        <w:ind w:hanging="0" w:end="0"/>
        <w:rPr/>
      </w:pPr>
      <w:r>
        <w:rPr/>
      </w:r>
    </w:p>
    <w:p>
      <w:pPr>
        <w:pStyle w:val="BodyText"/>
        <w:widowControl/>
        <w:rPr/>
      </w:pPr>
      <w:r>
        <w:rPr>
          <w:b/>
        </w:rPr>
        <w:t>IN WITNESS WHEREOF</w:t>
      </w:r>
      <w:r>
        <w:rPr/>
        <w:t>, the parties hereto have executed and delivered this Transfer and Assumption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widowControl/>
        <w:ind w:hanging="0" w:end="0"/>
        <w:jc w:val="center"/>
        <w:rPr>
          <w:rFonts w:ascii="Times New Roman" w:hAnsi="Times New Roman" w:cs="Times New Roman"/>
          <w:b/>
          <w:u w:val="single"/>
        </w:rPr>
      </w:pPr>
      <w:r>
        <w:rPr>
          <w:rFonts w:cs="Times New Roman"/>
          <w:b/>
          <w:u w:val="single"/>
        </w:rPr>
      </w:r>
    </w:p>
    <w:p>
      <w:pPr>
        <w:pStyle w:val="Normal"/>
        <w:widowControl/>
        <w:jc w:val="center"/>
        <w:rPr>
          <w:rFonts w:ascii="Times New Roman" w:hAnsi="Times New Roman" w:cs="Times New Roman"/>
          <w:b/>
        </w:rPr>
      </w:pPr>
      <w:r>
        <w:rPr>
          <w:rFonts w:cs="Times New Roman" w:ascii="Times New Roman" w:hAnsi="Times New Roman"/>
          <w:b/>
        </w:rPr>
        <w:t>SCHEDULE II</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rPr>
      </w:pPr>
      <w:r>
        <w:rPr>
          <w:rFonts w:cs="Times New Roman" w:ascii="Times New Roman" w:hAnsi="Times New Roman"/>
          <w:b/>
          <w:u w:val="single"/>
        </w:rPr>
        <w:t>ML&amp;Co. Guarantees</w:t>
      </w:r>
    </w:p>
    <w:p>
      <w:pPr>
        <w:pStyle w:val="Normal"/>
        <w:widowControl/>
        <w:suppressAutoHyphens w:val="true"/>
        <w:spacing w:lineRule="atLeast" w:line="240" w:before="0" w:after="240"/>
        <w:jc w:val="center"/>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r>
        <w:br w:type="page"/>
      </w:r>
    </w:p>
    <w:p>
      <w:pPr>
        <w:pStyle w:val="Normal"/>
        <w:widowControl/>
        <w:jc w:val="center"/>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SCHEDULE III</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u w:val="single"/>
        </w:rPr>
      </w:pPr>
      <w:r>
        <w:rPr>
          <w:rFonts w:cs="Times New Roman" w:ascii="Times New Roman" w:hAnsi="Times New Roman"/>
          <w:b/>
          <w:u w:val="single"/>
        </w:rPr>
        <w:t>Merrill Agreements</w:t>
      </w:r>
    </w:p>
    <w:p>
      <w:pPr>
        <w:pStyle w:val="Normal"/>
        <w:widowControl/>
        <w:jc w:val="center"/>
        <w:rPr>
          <w:rFonts w:ascii="Times New Roman" w:hAnsi="Times New Roman" w:cs="Times New Roman"/>
          <w:b/>
          <w:u w:val="single"/>
        </w:rPr>
      </w:pPr>
      <w:r>
        <w:rPr>
          <w:rFonts w:cs="Times New Roman" w:ascii="Times New Roman" w:hAnsi="Times New Roman"/>
          <w:b/>
          <w:u w:val="single"/>
        </w:rPr>
      </w:r>
    </w:p>
    <w:p>
      <w:pPr>
        <w:pStyle w:val="Normal"/>
        <w:widowControl/>
        <w:rPr>
          <w:rFonts w:ascii="Times New Roman" w:hAnsi="Times New Roman" w:cs="Times New Roman"/>
        </w:rPr>
      </w:pPr>
      <w:r>
        <w:rPr>
          <w:rFonts w:cs="Times New Roman" w:ascii="Times New Roman" w:hAnsi="Times New Roman"/>
        </w:rPr>
        <w:t>1. ISDA Master Agreement dated December 2, 1992, as amended, by and between Merrill Lynch Capital Services, Inc. and Enron Risk Management Services, Inc.</w:t>
      </w:r>
    </w:p>
    <w:p>
      <w:pPr>
        <w:pStyle w:val="Normal"/>
        <w:widowControl/>
        <w:rPr>
          <w:rFonts w:ascii="Times New Roman" w:hAnsi="Times New Roman" w:cs="Times New Roman"/>
        </w:rPr>
      </w:pPr>
      <w:r>
        <w:rPr>
          <w:rFonts w:cs="Times New Roman" w:ascii="Times New Roman" w:hAnsi="Times New Roman"/>
        </w:rPr>
      </w:r>
    </w:p>
    <w:p>
      <w:pPr>
        <w:pStyle w:val="Normal"/>
        <w:widowControl/>
        <w:rPr>
          <w:rFonts w:ascii="Times New Roman" w:hAnsi="Times New Roman" w:cs="Times New Roman"/>
        </w:rPr>
      </w:pPr>
      <w:r>
        <w:rPr>
          <w:rFonts w:cs="Times New Roman" w:ascii="Times New Roman" w:hAnsi="Times New Roman"/>
        </w:rPr>
      </w:r>
    </w:p>
    <w:p>
      <w:pPr>
        <w:pStyle w:val="Normal"/>
        <w:widowControl/>
        <w:rPr/>
      </w:pPr>
      <w:r>
        <w:rPr>
          <w:rFonts w:cs="Times New Roman" w:ascii="Times New Roman" w:hAnsi="Times New Roman"/>
        </w:rPr>
        <w:t>2</w:t>
      </w:r>
      <w:r>
        <w:rPr>
          <w:rFonts w:cs="Times New Roman" w:ascii="Times New Roman" w:hAnsi="Times New Roman"/>
          <w:strike/>
        </w:rPr>
        <w:t>. ISDA Master Agreement and Schedule dated December 28, 1999, by and between Merrill Lynch Capital Services, Inc. and Enron Power Marketing, inc.</w:t>
      </w:r>
    </w:p>
    <w:p>
      <w:pPr>
        <w:pStyle w:val="Normal"/>
        <w:widowControl/>
        <w:rPr>
          <w:rFonts w:ascii="Times New Roman" w:hAnsi="Times New Roman" w:cs="Times New Roman"/>
          <w:strike/>
        </w:rPr>
      </w:pPr>
      <w:r>
        <w:rPr>
          <w:rFonts w:cs="Times New Roman" w:ascii="Times New Roman" w:hAnsi="Times New Roman"/>
          <w:strike/>
        </w:rPr>
      </w:r>
    </w:p>
    <w:p>
      <w:pPr>
        <w:pStyle w:val="Normal"/>
        <w:widowControl/>
        <w:rPr/>
      </w:pPr>
      <w:r>
        <w:rPr>
          <w:rFonts w:cs="Times New Roman" w:ascii="Times New Roman" w:hAnsi="Times New Roman"/>
          <w:strike/>
        </w:rPr>
        <w:t>3</w:t>
      </w:r>
      <w:r>
        <w:rPr>
          <w:rFonts w:cs="Times New Roman" w:ascii="Times New Roman" w:hAnsi="Times New Roman"/>
        </w:rPr>
        <w:t>.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widowControl/>
      <w:rPr/>
    </w:pPr>
    <w:r>
      <w:rPr>
        <w:rStyle w:val="PageNumber"/>
        <w:sz w:val="15"/>
      </w:rPr>
      <w:t>WDC99 407408-1.056589.00144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5"/>
      </w:rPr>
      <w:t>WDC99 407408-1.056589.0014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sz w:val="1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v:textbox>
              <w10:wrap type="square"/>
            </v:rect>
          </w:pict>
        </mc:Fallback>
      </mc:AlternateContent>
    </w:r>
  </w:p>
  <w:p>
    <w:pPr>
      <w:pStyle w:val="Footer"/>
      <w:widowControl/>
      <w:rPr/>
    </w:pPr>
    <w:r>
      <w:rPr>
        <w:rStyle w:val="PageNumber"/>
        <w:sz w:val="15"/>
      </w:rPr>
      <w:t>WDC99 407408-1.056589.0014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2001-03-19T21:50:00Z</dcterms:created>
  <dc:creator>MW&amp;E</dc:creator>
  <dc:description/>
  <dc:language>en-CA</dc:language>
  <cp:lastModifiedBy>MW&amp;E</cp:lastModifiedBy>
  <cp:lastPrinted>2001-03-19T11:49:00Z</cp:lastPrinted>
  <dcterms:modified xsi:type="dcterms:W3CDTF">2001-03-19T21:50:00Z</dcterms:modified>
  <cp:revision>3</cp:revision>
  <dc:subject/>
  <dc:title>TRANSFER AND ASSUMPTION AGREEMENT </dc:title>
</cp:coreProperties>
</file>