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This redlined draft, generated by CompareRite (TM) - The Instant Redliner, shows the differences between - </w:t>
      </w:r>
    </w:p>
    <w:p>
      <w:pPr>
        <w:pStyle w:val="Normal"/>
        <w:rPr/>
      </w:pPr>
      <w:r>
        <w:rPr/>
        <w:t>original document   : C:\WINDOWS\TEMP\WDC99_406261_1</w:t>
      </w:r>
    </w:p>
    <w:p>
      <w:pPr>
        <w:pStyle w:val="Normal"/>
        <w:rPr/>
      </w:pPr>
      <w:r>
        <w:rPr/>
        <w:t>and revised document: C:\WINDOWS\TEMP\WDC99_406261.2</w:t>
      </w:r>
    </w:p>
    <w:p>
      <w:pPr>
        <w:pStyle w:val="Normal"/>
        <w:rPr/>
      </w:pPr>
      <w:r>
        <w:rPr/>
      </w:r>
    </w:p>
    <w:p>
      <w:pPr>
        <w:pStyle w:val="Normal"/>
        <w:rPr/>
      </w:pPr>
      <w:r>
        <w:rPr/>
        <w:t>CompareRite found    5 change(s) in the text</w:t>
      </w:r>
    </w:p>
    <w:p>
      <w:pPr>
        <w:pStyle w:val="Normal"/>
        <w:rPr/>
      </w:pPr>
      <w:r>
        <w:rPr/>
      </w:r>
    </w:p>
    <w:p>
      <w:pPr>
        <w:pStyle w:val="Normal"/>
        <w:rPr/>
      </w:pPr>
      <w:r>
        <w:rPr/>
        <w:t xml:space="preserve">Deletions appear as Overstrike text </w:t>
      </w:r>
    </w:p>
    <w:p>
      <w:pPr>
        <w:pStyle w:val="Normal"/>
        <w:rPr/>
      </w:pPr>
      <w:r>
        <w:rPr/>
        <w:t xml:space="preserve">Additions appear as Bold+Dbl Underline text </w:t>
      </w:r>
      <w:r>
        <w:br w:type="page"/>
      </w:r>
    </w:p>
    <w:p>
      <w:pPr>
        <w:pStyle w:val="Heading"/>
        <w:widowControl/>
        <w:spacing w:before="0" w:after="480"/>
        <w:rPr/>
      </w:pPr>
      <w:r>
        <w:rPr/>
        <w:t>TRANSFER AND ASSUMPTION AGREEMENT</w:t>
      </w:r>
      <w:commentRangeStart w:id="0"/>
      <w:r>
        <w:rPr/>
        <w:t xml:space="preserve"> </w:t>
      </w:r>
      <w:commentRangeEnd w:id="0"/>
      <w:r>
        <w:commentReference w:id="0"/>
      </w:r>
      <w:r>
        <w:rPr>
          <w:rStyle w:val="CommentReference"/>
          <w:b/>
          <w:vanish w:val="false"/>
          <w:kern w:val="0"/>
          <w:sz w:val="24"/>
        </w:rPr>
      </w:r>
    </w:p>
    <w:p>
      <w:pPr>
        <w:pStyle w:val="BodyTextJ"/>
        <w:widowControl/>
        <w:rPr/>
      </w:pPr>
      <w:r>
        <w:rPr/>
        <w:t>This Transfer and Assumption Agreement (“</w:t>
      </w:r>
      <w:r>
        <w:rPr>
          <w:u w:val="single"/>
        </w:rPr>
        <w:t>Agreement</w:t>
      </w:r>
      <w:r>
        <w:rPr/>
        <w:t>”) is made as of March 16, 2001, by and among Enron Power Marketing, Inc. ("</w:t>
      </w:r>
      <w:r>
        <w:rPr>
          <w:u w:val="single"/>
        </w:rPr>
        <w:t>EPMI</w:t>
      </w:r>
      <w:r>
        <w:rPr/>
        <w:t>") and Enron North America Corp. ("</w:t>
      </w:r>
      <w:r>
        <w:rPr>
          <w:u w:val="single"/>
        </w:rPr>
        <w:t>ENAC</w:t>
      </w:r>
      <w:r>
        <w:rPr/>
        <w:t>") (EPMI and ENAC each, individually, a “</w:t>
      </w:r>
      <w:r>
        <w:rPr>
          <w:u w:val="single"/>
        </w:rPr>
        <w:t>Counterparty</w:t>
      </w:r>
      <w:r>
        <w:rPr/>
        <w:t>” and collectively, the "</w:t>
      </w:r>
      <w:r>
        <w:rPr>
          <w:u w:val="single"/>
        </w:rPr>
        <w:t>Counterparties</w:t>
      </w:r>
      <w:r>
        <w:rPr/>
        <w:t>"), Merrill Lynch Capital Services, Inc. (“</w:t>
      </w:r>
      <w:r>
        <w:rPr>
          <w:u w:val="single"/>
        </w:rPr>
        <w:t>Transferor</w:t>
      </w:r>
      <w:r>
        <w:rPr/>
        <w:t>”), Merrill Lynch &amp; Co., Inc. ("</w:t>
      </w:r>
      <w:r>
        <w:rPr>
          <w:u w:val="single"/>
        </w:rPr>
        <w:t>ML&amp;Co.</w:t>
      </w:r>
      <w:r>
        <w:rPr/>
        <w:t>") and Allegheny Energy Supply Company, LLC (“</w:t>
      </w:r>
      <w:r>
        <w:rPr>
          <w:u w:val="single"/>
        </w:rPr>
        <w:t>Transferee</w:t>
      </w:r>
      <w:r>
        <w:rPr/>
        <w:t>”).</w:t>
      </w:r>
    </w:p>
    <w:p>
      <w:pPr>
        <w:pStyle w:val="Heading"/>
        <w:widowControl/>
        <w:rPr/>
      </w:pPr>
      <w:r>
        <w:rPr/>
        <w:t>W I T N E S S E T H:</w:t>
      </w:r>
    </w:p>
    <w:p>
      <w:pPr>
        <w:pStyle w:val="BodyTextJ"/>
        <w:widowControl/>
        <w:rPr/>
      </w:pPr>
      <w:r>
        <w:rPr>
          <w:b/>
        </w:rPr>
        <w:t>WHEREAS,</w:t>
      </w:r>
      <w:r>
        <w:rPr/>
        <w:t xml:space="preserve"> Counterparties and Transferor have entered into certain specific sales and purchases, or options for sale and purchase, of, in the case of EPMI, physical energy commodities (the “EPMI Transactions”) or, in the case of ENAC, certain financial swaps, options, or other financially settled derivative transactions (the “ENAC Transactions”) from one party to the other party, each as set forth in </w:t>
      </w:r>
      <w:r>
        <w:rPr>
          <w:b/>
        </w:rPr>
        <w:t>Schedule I</w:t>
      </w:r>
      <w:r>
        <w:rPr/>
        <w:t xml:space="preserve"> annexed hereto (the EPMI Transactions and the ENAC Transactions, collectively referred to herein as, the “</w:t>
      </w:r>
      <w:r>
        <w:rPr>
          <w:u w:val="single"/>
        </w:rPr>
        <w:t>Transactions</w:t>
      </w:r>
      <w:r>
        <w:rPr/>
        <w:t xml:space="preserve">”); </w:t>
      </w:r>
    </w:p>
    <w:p>
      <w:pPr>
        <w:pStyle w:val="BodyTextJ"/>
        <w:widowControl/>
        <w:rPr/>
      </w:pPr>
      <w:r>
        <w:rPr>
          <w:b/>
        </w:rPr>
        <w:t>WHEREAS,</w:t>
      </w:r>
      <w:r>
        <w:rPr/>
        <w:t xml:space="preserve"> ML&amp;Co. has issued the Guarantees specified in </w:t>
      </w:r>
      <w:r>
        <w:rPr>
          <w:b/>
        </w:rPr>
        <w:t>Schedule II</w:t>
      </w:r>
      <w:r>
        <w:rPr/>
        <w:t xml:space="preserve"> annexed hereto (each a "ML&amp;Co. Guarantee," and collectively, the “ML&amp;Co. Guarantees");</w:t>
      </w:r>
    </w:p>
    <w:p>
      <w:pPr>
        <w:pStyle w:val="BodyTextJ"/>
        <w:widowControl/>
        <w:rPr/>
      </w:pPr>
      <w:r>
        <w:rPr>
          <w:b/>
        </w:rPr>
        <w:t>WHEREAS,</w:t>
      </w:r>
      <w:r>
        <w:rPr/>
        <w:t xml:space="preserve"> Transferor, ML&amp;Co. (Transferor and ML&amp;Co. collectively, "</w:t>
      </w:r>
      <w:r>
        <w:rPr>
          <w:u w:val="single"/>
        </w:rPr>
        <w:t>Sellers</w:t>
      </w:r>
      <w:r>
        <w:rPr/>
        <w:t>"), and Transferee,  Allegheny Energy, Inc. ("</w:t>
      </w:r>
      <w:r>
        <w:rPr>
          <w:u w:val="single"/>
        </w:rPr>
        <w:t>AEI</w:t>
      </w:r>
      <w:r>
        <w:rPr/>
        <w:t>") and Allegheny Energy Global Markets, LLC ("</w:t>
      </w:r>
      <w:r>
        <w:rPr>
          <w:u w:val="single"/>
        </w:rPr>
        <w:t>AEGM</w:t>
      </w:r>
      <w:r>
        <w:rPr/>
        <w:t>") (Transferee, AEI and AEGM, collectively "</w:t>
      </w:r>
      <w:r>
        <w:rPr>
          <w:u w:val="single"/>
        </w:rPr>
        <w:t>Buyers</w:t>
      </w:r>
      <w:r>
        <w:rPr/>
        <w:t>")  have entered into an Asset Contribution and Purchase Agreement dated January 8, 2001, as amended, ("</w:t>
      </w:r>
      <w:r>
        <w:rPr>
          <w:u w:val="single"/>
        </w:rPr>
        <w:t>Purchase Agreement</w:t>
      </w:r>
      <w:r>
        <w:rPr/>
        <w:t>") pursuant to which Sellers have agreed to sell their energy trading business (“</w:t>
      </w:r>
      <w:r>
        <w:rPr>
          <w:u w:val="single"/>
        </w:rPr>
        <w:t>Business</w:t>
      </w:r>
      <w:r>
        <w:rPr/>
        <w:t xml:space="preserve">”) to Buyers; </w:t>
      </w:r>
    </w:p>
    <w:p>
      <w:pPr>
        <w:pStyle w:val="Normal"/>
        <w:widowControl/>
        <w:rPr/>
      </w:pPr>
      <w:r>
        <w:rPr>
          <w:rFonts w:cs="Times New Roman" w:ascii="Times New Roman" w:hAnsi="Times New Roman"/>
          <w:color w:val="000000"/>
        </w:rPr>
        <w:tab/>
        <w:tab/>
      </w:r>
      <w:r>
        <w:rPr>
          <w:rFonts w:cs="Times New Roman" w:ascii="Times New Roman" w:hAnsi="Times New Roman"/>
          <w:b/>
          <w:color w:val="000000"/>
        </w:rPr>
        <w:t>WHEREAS</w:t>
      </w:r>
      <w:r>
        <w:rPr>
          <w:rFonts w:cs="Times New Roman" w:ascii="Times New Roman" w:hAnsi="Times New Roman"/>
          <w:color w:val="000000"/>
        </w:rPr>
        <w:t>, on March 14, 2001 the Federal Energy</w:t>
      </w:r>
      <w:r>
        <w:rPr>
          <w:rFonts w:cs="Times New Roman" w:ascii="Times New Roman" w:hAnsi="Times New Roman"/>
        </w:rPr>
        <w:t xml:space="preserve"> Regulatory Commission entered </w:t>
      </w:r>
      <w:r>
        <w:rPr>
          <w:rFonts w:cs="Times New Roman" w:ascii="Times New Roman" w:hAnsi="Times New Roman"/>
          <w:color w:val="000000"/>
        </w:rPr>
        <w:t>an Order Authorizing Transfer of Jurisdictional Facilities</w:t>
      </w:r>
      <w:r>
        <w:rPr>
          <w:rFonts w:cs="Times New Roman" w:ascii="Times New Roman" w:hAnsi="Times New Roman"/>
        </w:rPr>
        <w:t>, which authorizes Transferor to transfer the EPMI Transactions to Transferee;</w:t>
      </w:r>
    </w:p>
    <w:p>
      <w:pPr>
        <w:pStyle w:val="Normal"/>
        <w:widowControl/>
        <w:rPr>
          <w:rFonts w:ascii="Times New Roman" w:hAnsi="Times New Roman" w:cs="Times New Roman"/>
        </w:rPr>
      </w:pPr>
      <w:r>
        <w:rPr>
          <w:rFonts w:cs="Times New Roman" w:ascii="Times New Roman" w:hAnsi="Times New Roman"/>
        </w:rPr>
      </w:r>
    </w:p>
    <w:p>
      <w:pPr>
        <w:pStyle w:val="BodyTextJ"/>
        <w:widowControl/>
        <w:rPr/>
      </w:pPr>
      <w:r>
        <w:rPr>
          <w:b/>
        </w:rPr>
        <w:t>WHEREAS</w:t>
      </w:r>
      <w:r>
        <w:rPr/>
        <w:t xml:space="preserve">, Transferor has supplied Counterparty with collateral to secure payment on the Transactions in the amount of </w:t>
      </w:r>
      <w:r>
        <w:rPr>
          <w:b/>
        </w:rPr>
        <w:t>[$184,000,000]</w:t>
      </w:r>
      <w:r>
        <w:rPr/>
        <w:t xml:space="preserve"> (the "Transferor Collateral");</w:t>
      </w:r>
    </w:p>
    <w:p>
      <w:pPr>
        <w:pStyle w:val="BodyTextJ"/>
        <w:widowControl/>
        <w:rPr/>
      </w:pPr>
      <w:r>
        <w:rPr>
          <w:b/>
        </w:rPr>
        <w:t>WHEREAS</w:t>
      </w:r>
      <w:r>
        <w:rPr/>
        <w:t xml:space="preserve">, Transferee has agreed to provide collateral to Counterparty in the amount of </w:t>
      </w:r>
      <w:r>
        <w:rPr>
          <w:b/>
        </w:rPr>
        <w:t>[$184,000,000]</w:t>
      </w:r>
      <w:r>
        <w:rPr/>
        <w:t xml:space="preserve"> to secure the Transactions in place of the Transferor Collateral (the "Transferee Collateral"); </w:t>
      </w:r>
    </w:p>
    <w:p>
      <w:pPr>
        <w:pStyle w:val="BodyTextJ"/>
        <w:widowControl/>
        <w:rPr/>
      </w:pPr>
      <w:r>
        <w:rPr>
          <w:b/>
        </w:rPr>
        <w:t>WHEREAS</w:t>
      </w:r>
      <w:r>
        <w:rPr/>
        <w:t>, upon the receipt by the respective Counterparties of the Transferee Collateral, and the return to Transferor of the Transferor Collateral (the "Collateral Return"), Transferor desires to transfer, and Transferee desires to accept the transfer of and assume, the Transactions; and</w:t>
      </w:r>
    </w:p>
    <w:p>
      <w:pPr>
        <w:pStyle w:val="BodyTextJ"/>
        <w:widowControl/>
        <w:rPr/>
      </w:pPr>
      <w:r>
        <w:rPr>
          <w:b/>
        </w:rPr>
        <w:t>WHEREAS,</w:t>
      </w:r>
      <w:r>
        <w:rPr/>
        <w:t xml:space="preserve"> upon the such transfer, the EPMI Transactions will be governed by  a Master Energy Purchase and Sale Agreement between the Transferee and EPMI dated as of March 1, 2000, as amended on or about the date hereof (the “EPMI Contract”), and the ENAC Transactions will be governed by the terms of an ISDA Master Agreement between the Transferee and ENAC dated on or about the date hereof (the “ENAC Contract,” and, together with the EPMI Contract, the “Contracts").</w:t>
      </w:r>
    </w:p>
    <w:p>
      <w:pPr>
        <w:pStyle w:val="BodyTextJ"/>
        <w:widowControl/>
        <w:rPr/>
      </w:pPr>
      <w:r>
        <w:rPr>
          <w:b/>
        </w:rPr>
        <w:t>NOW, THEREFORE,</w:t>
      </w:r>
      <w:r>
        <w:rPr/>
        <w:t xml:space="preserve"> in consideration of the premises and the mutual covenants contained herein and for other good and valuable consideration, the receipt and sufficiency of which are hereby acknowledged, the parties hereto agree as follows:</w:t>
      </w:r>
    </w:p>
    <w:p>
      <w:pPr>
        <w:pStyle w:val="BlockTextJ"/>
        <w:widowControl/>
        <w:rPr/>
      </w:pPr>
      <w:r>
        <w:rPr/>
        <w:t>1.</w:t>
        <w:tab/>
      </w:r>
      <w:r>
        <w:rPr>
          <w:u w:val="single"/>
        </w:rPr>
        <w:t>Transfer and Assumption</w:t>
      </w:r>
    </w:p>
    <w:p>
      <w:pPr>
        <w:pStyle w:val="BlockTextJ"/>
        <w:widowControl/>
        <w:rPr>
          <w:u w:val="single"/>
        </w:rPr>
      </w:pPr>
      <w:r>
        <w:rPr>
          <w:u w:val="single"/>
        </w:rPr>
      </w:r>
    </w:p>
    <w:p>
      <w:pPr>
        <w:pStyle w:val="BodyTextJ"/>
        <w:widowControl/>
        <w:ind w:hanging="0" w:start="720" w:end="0"/>
        <w:rPr/>
      </w:pPr>
      <w:r>
        <w:rPr/>
        <w:t>(a)</w:t>
        <w:tab/>
        <w:t>Effective as of the Collateral Return, Transferor sells, assigns, transfers, and sets over to Transferee all of Transferor’s rights, title, interests, powers, privileges, remedies, obligations, and duties in, to, under, and in respect of, the Transactions.</w:t>
      </w:r>
    </w:p>
    <w:p>
      <w:pPr>
        <w:pStyle w:val="BodyTextJ"/>
        <w:widowControl/>
        <w:ind w:hanging="0" w:start="720" w:end="0"/>
        <w:rPr/>
      </w:pPr>
      <w:r>
        <w:rPr/>
        <w:t>(b)</w:t>
        <w:tab/>
        <w:t>Effective as of the Collateral Return, Transferee accepts the sale, assignment, and transfer of the Transactions as provided in Section 1(a), and agrees to perform all obligations arising out of or to be performed under the Transactions after the Collateral Return.</w:t>
      </w:r>
    </w:p>
    <w:p>
      <w:pPr>
        <w:pStyle w:val="BodyTextJ"/>
        <w:widowControl/>
        <w:ind w:hanging="0" w:start="720" w:end="0"/>
        <w:rPr/>
      </w:pPr>
      <w:r>
        <w:rPr/>
        <w:t>(c)</w:t>
        <w:tab/>
        <w:t>Effective as of the Collateral Return, the EPMI Transactions will be governed by the EMPI Contract and the ENAC Transactions will be governed by the ENAC Contract.</w:t>
      </w:r>
      <w:r>
        <w:rPr>
          <w:b/>
          <w:u w:val="double"/>
        </w:rPr>
        <w:t xml:space="preserve"> In the event of a conflict between the Transactions and the Contracts, the terms of the Transactions shall govern (except that any obligation or right in the Transactions pertaining to the Transferor shall be deemed to pertain to the Transferee).</w:t>
      </w:r>
    </w:p>
    <w:p>
      <w:pPr>
        <w:pStyle w:val="BodyTextJ"/>
        <w:widowControl/>
        <w:ind w:hanging="0" w:start="720" w:end="0"/>
        <w:rPr/>
      </w:pPr>
      <w:r>
        <w:rPr/>
        <w:t xml:space="preserve">(d) The spreadsheets of Transactions attached hereto as </w:t>
      </w:r>
      <w:r>
        <w:rPr>
          <w:b/>
        </w:rPr>
        <w:t>Schedule I</w:t>
      </w:r>
      <w:r>
        <w:rPr/>
        <w:t xml:space="preserve"> (the "Initial Spreadsheets") between Transferor and each Counterparty have been reviewed by each of the Counterparties and Transferor.  Each of the Counterparties and Transferor agree that  the Initial Spreadsheets are identical in all material respects.   On or before Friday, March 23, 2001, Counterparties and Transferor shall agree upon a definitive spreadsheet (the "Definitive Spreadsheet"), which thereafter shall constitute </w:t>
      </w:r>
      <w:r>
        <w:rPr>
          <w:b/>
        </w:rPr>
        <w:t>Schedule I</w:t>
      </w:r>
      <w:r>
        <w:rPr/>
        <w:t>.   In agreeing to the Definitive Spreadsheet, each of the Counterparties and Transferor shall cooperate in good faith to resolve any discrepancy between the Initial Spreadsheets and, in connection therewith, may rely upon confirmations and other relevant documentation or recordings of the Transactions.</w:t>
      </w:r>
    </w:p>
    <w:p>
      <w:pPr>
        <w:pStyle w:val="BodyTextJ"/>
        <w:widowControl/>
        <w:spacing w:before="0" w:after="0"/>
        <w:rPr/>
      </w:pPr>
      <w:r>
        <w:rPr/>
        <w:br/>
        <w:t>2.</w:t>
        <w:tab/>
      </w:r>
      <w:r>
        <w:rPr>
          <w:u w:val="single"/>
        </w:rPr>
        <w:t>Consent to Transfer</w:t>
      </w:r>
      <w:r>
        <w:rPr/>
        <w:t xml:space="preserve"> </w:t>
      </w:r>
    </w:p>
    <w:p>
      <w:pPr>
        <w:pStyle w:val="BlockTextJ"/>
        <w:widowControl/>
        <w:rPr/>
      </w:pPr>
      <w:r>
        <w:rPr/>
      </w:r>
    </w:p>
    <w:p>
      <w:pPr>
        <w:pStyle w:val="BodyTextJ"/>
        <w:widowControl/>
        <w:ind w:hanging="0" w:end="0"/>
        <w:rPr/>
      </w:pPr>
      <w:r>
        <w:rPr/>
        <w:t xml:space="preserve">Effective as of the Collateral Return, each Counterparty consents to the sale, assignment, and transfer of the Transactions by Transferor to Transferee and the acceptance and assumption by Transferee of the Transactions and all rights and obligations thereunder (including amounts and liabilities accrued but not paid) , all as provided in Section 1. </w:t>
      </w:r>
      <w:r>
        <w:br w:type="page"/>
      </w:r>
    </w:p>
    <w:p>
      <w:pPr>
        <w:pStyle w:val="BodyTextJ"/>
        <w:widowControl/>
        <w:ind w:hanging="0" w:end="0"/>
        <w:rPr/>
      </w:pPr>
      <w:r>
        <w:rPr/>
      </w:r>
    </w:p>
    <w:p>
      <w:pPr>
        <w:pStyle w:val="BlockTextJ"/>
        <w:widowControl/>
        <w:spacing w:before="0" w:after="240"/>
        <w:rPr/>
      </w:pPr>
      <w:r>
        <w:rPr/>
        <w:t>3.</w:t>
        <w:tab/>
      </w:r>
      <w:r>
        <w:rPr>
          <w:u w:val="single"/>
        </w:rPr>
        <w:t>Termination and Release</w:t>
      </w:r>
    </w:p>
    <w:p>
      <w:pPr>
        <w:pStyle w:val="BodyTextJ"/>
        <w:widowControl/>
        <w:ind w:hanging="0" w:start="720" w:end="0"/>
        <w:rPr/>
      </w:pPr>
      <w:r>
        <w:rPr/>
        <w:t>(a)</w:t>
        <w:tab/>
        <w:t>Each Counterparty and ML&amp;Co. agree that, effective immediately upon the Collateral Return, each of the Counterparties shall release and promptly return, to ML&amp;Co. and Transferor respectively, the appropriate ML&amp;Co. Guarantee and the  Transferor Collateral.</w:t>
      </w:r>
    </w:p>
    <w:p>
      <w:pPr>
        <w:pStyle w:val="BodyTextJ"/>
        <w:widowControl/>
        <w:ind w:hanging="0" w:start="720" w:end="0"/>
        <w:rPr/>
      </w:pPr>
      <w:r>
        <w:rPr/>
        <w:t>(b)</w:t>
        <w:tab/>
        <w:t xml:space="preserve">Effective immediately upon the Collateral Return, </w:t>
      </w:r>
      <w:r>
        <w:rPr>
          <w:strike/>
        </w:rPr>
        <w:t xml:space="preserve">each Counterparty shall release and discharge Transferor, ML&amp;Co. and each of their respective directors, officers, employees and agents from any and all claims, actions, and suits, and against any and all liabilities, losses, costs, damages, legal fees and other expenses or claims of every nature and character that relate, directly or indirectly, to the Transactions or the ML&amp;Co. Guarantees and that arise </w:t>
      </w:r>
      <w:r>
        <w:rPr>
          <w:b/>
          <w:u w:val="double"/>
        </w:rPr>
        <w:t>Transferee and Counterparties agree that Transferor shall have no liability to Transferee or either Counterparty for any obligation, claim, damage, action, penalty, fee or other liability under the Transactions, or under the ML&amp;Co. Guarantee of the obligations resulting from such Transactions, that may arise, or may be based upon events that may occur</w:t>
      </w:r>
      <w:r>
        <w:rPr/>
        <w:t xml:space="preserve"> after the Collateral Return</w:t>
      </w:r>
      <w:r>
        <w:rPr>
          <w:b/>
          <w:u w:val="double"/>
        </w:rPr>
        <w:t>, except to the extent that such obligation, claim, damage, action, penalty, fee or other liability is based, in whole or in part, upon any act or omission of the Transferor that occurred prior to the Collateral Return.  In such event, the liability of Transferor, if any, to Counterparty shall be determined in accordance with the terms and conditions of the Transactions and/ or the contracts in place between Transferor and Counterparties.  Transferee agrees to indemnify Counterparties in the event that Transferor fails to meet its obligations under this Section 3(b)</w:t>
      </w:r>
      <w:r>
        <w:rPr/>
        <w:t>.</w:t>
      </w:r>
    </w:p>
    <w:p>
      <w:pPr>
        <w:pStyle w:val="BodyTextJ"/>
        <w:widowControl/>
        <w:rPr/>
      </w:pPr>
      <w:r>
        <w:rPr/>
        <w:br/>
        <w:t>4.</w:t>
        <w:tab/>
      </w:r>
      <w:r>
        <w:rPr>
          <w:u w:val="single"/>
        </w:rPr>
        <w:t>Confidentiality</w:t>
      </w:r>
    </w:p>
    <w:p>
      <w:pPr>
        <w:pStyle w:val="Normal"/>
        <w:widowControl/>
        <w:spacing w:before="0" w:after="120"/>
        <w:ind w:hanging="720" w:start="720" w:end="0"/>
        <w:rPr/>
      </w:pPr>
      <w:r>
        <w:rPr>
          <w:rFonts w:cs="Times New Roman" w:ascii="Times New Roman" w:hAnsi="Times New Roman"/>
        </w:rPr>
        <w:tab/>
        <w:t>(a)</w:t>
        <w:tab/>
        <w:t>All Confidential Information (as defined in Section 4(b)) shall be held and treated by the parties and their agents in confidence, used solely in connection with this Agreement, and shall not, except as hereinafter provided, be disclosed without the prior written consent of the other parties.  In the event that a party ("Disclosing Party") is requested or required to disclose any Confidential Information, the Disclosing Party shall provide the other parties with prompt written notice of any such request or requirement, if such notice is, in the opinion of the Disclosing Party's counsel, permitted by law, so that the other parties may seek an appropriate protective order or waive compliance with the confidentiality provisions of this Agreement.  If, failing the entry of a protective order or the receipt of a waiver hereunder, the Disclosing Party, in the determination of its counsel, is compelled to disclose Confidential Information, the Disclosing Party may disclose that portion of the Confidential Information which the Disclosing Party's counsel determines that the Disclosing Party is compelled to disclose.</w:t>
      </w:r>
      <w:r>
        <w:rPr>
          <w:rFonts w:cs="Times New Roman" w:ascii="Times New Roman" w:hAnsi="Times New Roman"/>
          <w:b/>
        </w:rPr>
        <w:t xml:space="preserve">  </w:t>
      </w:r>
    </w:p>
    <w:p>
      <w:pPr>
        <w:pStyle w:val="Normal"/>
        <w:widowControl/>
        <w:spacing w:before="0" w:after="120"/>
        <w:ind w:hanging="720" w:start="720" w:end="0"/>
        <w:rPr/>
      </w:pPr>
      <w:r>
        <w:rPr>
          <w:rFonts w:cs="Times New Roman" w:ascii="Times New Roman" w:hAnsi="Times New Roman"/>
        </w:rPr>
        <w:tab/>
        <w:t>(b)</w:t>
        <w:tab/>
        <w:t>For the purpose of this Section 4, Confidential Information</w:t>
      </w:r>
      <w:r>
        <w:rPr>
          <w:rFonts w:cs="Times New Roman" w:ascii="Times New Roman" w:hAnsi="Times New Roman"/>
          <w:b/>
        </w:rPr>
        <w:t xml:space="preserve"> </w:t>
      </w:r>
      <w:r>
        <w:rPr>
          <w:rFonts w:cs="Times New Roman" w:ascii="Times New Roman" w:hAnsi="Times New Roman"/>
        </w:rPr>
        <w:t>means the terms of this Agreement and the Transactions, including, but not limited to, the price, the quantity, the identity of Counterparties, and all other material terms thereof.  Notwithstanding the foregoing, the following shall not constitute Confidential Information:</w:t>
      </w:r>
    </w:p>
    <w:p>
      <w:pPr>
        <w:pStyle w:val="Normal"/>
        <w:widowControl/>
        <w:tabs>
          <w:tab w:val="clear" w:pos="720"/>
          <w:tab w:val="left" w:pos="1440" w:leader="none"/>
        </w:tabs>
        <w:spacing w:before="0" w:after="120"/>
        <w:ind w:hanging="630" w:start="1350" w:end="0"/>
        <w:rPr>
          <w:rFonts w:ascii="Times New Roman" w:hAnsi="Times New Roman" w:cs="Times New Roman"/>
        </w:rPr>
      </w:pPr>
      <w:r>
        <w:rPr>
          <w:rFonts w:cs="Times New Roman" w:ascii="Times New Roman" w:hAnsi="Times New Roman"/>
        </w:rPr>
        <w:tab/>
        <w:t>(i)</w:t>
        <w:tab/>
        <w:t>Information which was already in a party's possession prior to its receipt from any other party;</w:t>
      </w:r>
    </w:p>
    <w:p>
      <w:pPr>
        <w:pStyle w:val="Normal"/>
        <w:widowControl/>
        <w:spacing w:before="0" w:after="120"/>
        <w:ind w:hanging="630" w:start="1350" w:end="0"/>
        <w:rPr>
          <w:rFonts w:ascii="Times New Roman" w:hAnsi="Times New Roman" w:cs="Times New Roman"/>
        </w:rPr>
      </w:pPr>
      <w:r>
        <w:rPr>
          <w:rFonts w:cs="Times New Roman" w:ascii="Times New Roman" w:hAnsi="Times New Roman"/>
        </w:rPr>
        <w:tab/>
        <w:t>(ii)</w:t>
        <w:tab/>
        <w:t>Information which is obtained from a third person who, insofar as is known to the party, is not prohibited from transmitting the information to the party by a contractual, legal or fiduciary obligation to any other party; and</w:t>
      </w:r>
    </w:p>
    <w:p>
      <w:pPr>
        <w:pStyle w:val="Normal"/>
        <w:widowControl/>
        <w:spacing w:before="0" w:after="120"/>
        <w:ind w:hanging="630" w:start="1350" w:end="0"/>
        <w:rPr>
          <w:rFonts w:ascii="Times New Roman" w:hAnsi="Times New Roman" w:cs="Times New Roman"/>
        </w:rPr>
      </w:pPr>
      <w:r>
        <w:rPr>
          <w:rFonts w:cs="Times New Roman" w:ascii="Times New Roman" w:hAnsi="Times New Roman"/>
        </w:rPr>
        <w:tab/>
        <w:t>(iii)</w:t>
        <w:tab/>
        <w:t>Information which is or becomes publicly available through no fault of the party.</w:t>
      </w:r>
    </w:p>
    <w:p>
      <w:pPr>
        <w:pStyle w:val="BodyTextJ"/>
        <w:widowControl/>
        <w:rPr>
          <w:rFonts w:ascii="Times New Roman" w:hAnsi="Times New Roman" w:cs="Times New Roman"/>
        </w:rPr>
      </w:pPr>
      <w:r>
        <w:rPr>
          <w:rFonts w:cs="Times New Roman"/>
        </w:rPr>
      </w:r>
    </w:p>
    <w:p>
      <w:pPr>
        <w:pStyle w:val="Normal"/>
        <w:widowControl/>
        <w:tabs>
          <w:tab w:val="clear" w:pos="720"/>
          <w:tab w:val="left" w:pos="0" w:leader="none"/>
        </w:tabs>
        <w:suppressAutoHyphens w:val="true"/>
        <w:spacing w:lineRule="atLeast" w:line="240" w:before="0" w:after="240"/>
        <w:ind w:hanging="720" w:start="720" w:end="0"/>
        <w:jc w:val="both"/>
        <w:rPr>
          <w:rFonts w:ascii="Times New Roman" w:hAnsi="Times New Roman" w:cs="Times New Roman"/>
        </w:rPr>
      </w:pPr>
      <w:r>
        <w:rPr>
          <w:rFonts w:cs="Times New Roman" w:ascii="Times New Roman" w:hAnsi="Times New Roman"/>
        </w:rPr>
        <w:t>5.</w:t>
        <w:tab/>
      </w:r>
      <w:r>
        <w:rPr>
          <w:rFonts w:cs="Times New Roman" w:ascii="Times New Roman" w:hAnsi="Times New Roman"/>
          <w:u w:val="single"/>
        </w:rPr>
        <w:t>Full Force and Effect</w:t>
      </w:r>
    </w:p>
    <w:p>
      <w:pPr>
        <w:pStyle w:val="Normal"/>
        <w:widowControl/>
        <w:tabs>
          <w:tab w:val="clear" w:pos="720"/>
          <w:tab w:val="left" w:pos="0" w:leader="none"/>
        </w:tabs>
        <w:suppressAutoHyphens w:val="true"/>
        <w:spacing w:lineRule="atLeast" w:line="240" w:before="0" w:after="240"/>
        <w:jc w:val="both"/>
        <w:rPr>
          <w:rFonts w:ascii="Times New Roman" w:hAnsi="Times New Roman" w:cs="Times New Roman"/>
        </w:rPr>
      </w:pPr>
      <w:r>
        <w:rPr>
          <w:rFonts w:cs="Times New Roman" w:ascii="Times New Roman" w:hAnsi="Times New Roman"/>
        </w:rPr>
        <w:t>Except as provided in this Agreement, the Transactions shall remain in full force and effect.</w:t>
        <w:tab/>
      </w:r>
    </w:p>
    <w:p>
      <w:pPr>
        <w:pStyle w:val="Normal"/>
        <w:widowControl/>
        <w:tabs>
          <w:tab w:val="clear" w:pos="720"/>
          <w:tab w:val="left" w:pos="0" w:leader="none"/>
        </w:tabs>
        <w:suppressAutoHyphens w:val="true"/>
        <w:spacing w:lineRule="atLeast" w:line="240" w:before="0" w:after="240"/>
        <w:ind w:hanging="720" w:start="720" w:end="0"/>
        <w:jc w:val="both"/>
        <w:rPr>
          <w:rFonts w:ascii="Times New Roman" w:hAnsi="Times New Roman" w:cs="Times New Roman"/>
        </w:rPr>
      </w:pPr>
      <w:r>
        <w:rPr>
          <w:rFonts w:cs="Times New Roman" w:ascii="Times New Roman" w:hAnsi="Times New Roman"/>
        </w:rPr>
        <w:t>6.</w:t>
        <w:tab/>
      </w:r>
      <w:r>
        <w:rPr>
          <w:rFonts w:cs="Times New Roman" w:ascii="Times New Roman" w:hAnsi="Times New Roman"/>
          <w:u w:val="single"/>
        </w:rPr>
        <w:t>Governing Law</w:t>
      </w:r>
    </w:p>
    <w:p>
      <w:pPr>
        <w:pStyle w:val="Normal"/>
        <w:widowControl/>
        <w:tabs>
          <w:tab w:val="clear" w:pos="720"/>
          <w:tab w:val="left" w:pos="0" w:leader="none"/>
        </w:tabs>
        <w:suppressAutoHyphens w:val="true"/>
        <w:spacing w:lineRule="atLeast" w:line="240" w:before="0" w:after="240"/>
        <w:jc w:val="both"/>
        <w:rPr>
          <w:rFonts w:ascii="Times New Roman" w:hAnsi="Times New Roman" w:cs="Times New Roman"/>
        </w:rPr>
      </w:pPr>
      <w:r>
        <w:rPr>
          <w:rFonts w:cs="Times New Roman" w:ascii="Times New Roman" w:hAnsi="Times New Roman"/>
        </w:rPr>
        <w:t>This Agreement shall be governed by, and construed and enforced in accordance with, the laws of the State of New York without regard to choice of law principles.</w:t>
      </w:r>
    </w:p>
    <w:p>
      <w:pPr>
        <w:pStyle w:val="BodyTextJ"/>
        <w:widowControl/>
        <w:ind w:hanging="0" w:end="0"/>
        <w:rPr/>
      </w:pPr>
      <w:r>
        <w:rPr/>
        <w:t>7.</w:t>
        <w:tab/>
      </w:r>
      <w:r>
        <w:rPr>
          <w:u w:val="single"/>
        </w:rPr>
        <w:t>Arbitration</w:t>
      </w:r>
      <w:r>
        <w:rPr>
          <w:strike/>
          <w:u w:val="single"/>
        </w:rPr>
        <w:t>.</w:t>
      </w:r>
      <w:r>
        <w:rPr/>
        <w:t xml:space="preserve">  </w:t>
      </w:r>
    </w:p>
    <w:p>
      <w:pPr>
        <w:pStyle w:val="BodyTextJ"/>
        <w:widowControl/>
        <w:ind w:hanging="0" w:end="0"/>
        <w:rPr/>
      </w:pPr>
      <w:r>
        <w:rPr/>
        <w:t>Any claim, counterclaim, demand, cause of action, dispute, or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paragraph only, collectively the "Claims") shall be resolved by binding arbitration.  The arbitration shall be conducted in accordance with the  Commercial Arbitration Rules of the American Arbitration Association then in effect or such other rules as mutually agreed upon by the parties to the arbitration.  The arbitration shall be governed by the United States Arbitration Act, 9 U.S.C. Sections 1-16, and any court having jurisdiction thereof may enter judgment upon the award rendered by the arbitrator(s).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set forth in Section 6.  It is agreed that the arbitrators shall have no authority to award treble, exemplary or punitive damages of any type under any circumstances whether or not such damages may be available under state or federal law, or under the United States Arbitration Act, or under the Commercial Arbitration Rules of the American Arbitration Association, the parties hereby waiving their right, if any, to recover any such damages.  The arbitration proceeding shall be conducted in New York, New York.  To the fullest extent permitted by law, any arbitration proceeding and the arbitrator's award shall be maintained in confidence by the parties.</w:t>
      </w:r>
    </w:p>
    <w:p>
      <w:pPr>
        <w:pStyle w:val="BlockTextJ"/>
        <w:widowControl/>
        <w:rPr/>
      </w:pPr>
      <w:r>
        <w:rPr/>
        <w:t>8.</w:t>
        <w:tab/>
      </w:r>
      <w:r>
        <w:rPr>
          <w:u w:val="single"/>
        </w:rPr>
        <w:t>Jurisdiction and Costs</w:t>
      </w:r>
    </w:p>
    <w:p>
      <w:pPr>
        <w:pStyle w:val="BlockTextJ"/>
        <w:widowControl/>
        <w:rPr>
          <w:u w:val="single"/>
        </w:rPr>
      </w:pPr>
      <w:r>
        <w:rPr>
          <w:u w:val="single"/>
        </w:rPr>
      </w:r>
    </w:p>
    <w:p>
      <w:pPr>
        <w:pStyle w:val="BodyTextJ"/>
        <w:widowControl/>
        <w:ind w:hanging="0" w:end="0"/>
        <w:rPr/>
      </w:pPr>
      <w:r>
        <w:rPr/>
        <w:t>The parties acknowledge and agree that the breach of this Agreement (and specifically of Section 4 hereof) by a party may cause irreparable injury to another party.  In the event of such a breach, the party so injured shall be entitled to seek equitable relief (including, without limitation, the granting of injunctive relief).  The parties agree that equitable relief shall not be exclusive of other remedies to which the injured party may be entitled under Section 7.  Any judicial action for equitable relief shall be brought only in a federal court of competent jurisdiction located in the state, county and city of New York, Borough of Manhattan.  In the event such judicial proceedings are instituted by any party, the prevailing party shall be entitled to award of its costs and attorneys' fees incurred in connection with such proceedings.</w:t>
      </w:r>
    </w:p>
    <w:p>
      <w:pPr>
        <w:pStyle w:val="Normal"/>
        <w:widowControl/>
        <w:tabs>
          <w:tab w:val="clear" w:pos="720"/>
          <w:tab w:val="left" w:pos="0" w:leader="none"/>
        </w:tabs>
        <w:suppressAutoHyphens w:val="true"/>
        <w:spacing w:lineRule="atLeast" w:line="240" w:before="0" w:after="240"/>
        <w:ind w:hanging="720" w:start="720" w:end="0"/>
        <w:jc w:val="both"/>
        <w:rPr>
          <w:rFonts w:ascii="Times New Roman" w:hAnsi="Times New Roman" w:cs="Times New Roman"/>
        </w:rPr>
      </w:pPr>
      <w:r>
        <w:rPr>
          <w:rFonts w:cs="Times New Roman" w:ascii="Times New Roman" w:hAnsi="Times New Roman"/>
        </w:rPr>
        <w:t>9.</w:t>
        <w:tab/>
      </w:r>
      <w:r>
        <w:rPr>
          <w:rFonts w:cs="Times New Roman" w:ascii="Times New Roman" w:hAnsi="Times New Roman"/>
          <w:u w:val="single"/>
        </w:rPr>
        <w:t>Amendments and Waivers</w:t>
      </w:r>
    </w:p>
    <w:p>
      <w:pPr>
        <w:pStyle w:val="BodyTextJ"/>
        <w:widowControl/>
        <w:ind w:hanging="0" w:end="0"/>
        <w:rPr/>
      </w:pPr>
      <w:r>
        <w:rPr/>
        <w:t>This Agreement may be amended or any of its provisions waived only by a written instrument signed by the parties hereto.</w:t>
      </w:r>
    </w:p>
    <w:p>
      <w:pPr>
        <w:pStyle w:val="BlockTextJ"/>
        <w:widowControl/>
        <w:rPr/>
      </w:pPr>
      <w:r>
        <w:rPr/>
        <w:t>10.</w:t>
        <w:tab/>
      </w:r>
      <w:r>
        <w:rPr>
          <w:u w:val="single"/>
        </w:rPr>
        <w:t>Entire Agreement</w:t>
      </w:r>
    </w:p>
    <w:p>
      <w:pPr>
        <w:pStyle w:val="BodyTextJ"/>
        <w:widowControl/>
        <w:spacing w:before="0" w:after="0"/>
        <w:rPr/>
      </w:pPr>
      <w:r>
        <w:rPr/>
      </w:r>
    </w:p>
    <w:p>
      <w:pPr>
        <w:pStyle w:val="BodyTextJ"/>
        <w:widowControl/>
        <w:ind w:hanging="0" w:end="0"/>
        <w:rPr/>
      </w:pPr>
      <w:r>
        <w:rPr/>
        <w:t xml:space="preserve">This Agreement (including </w:t>
      </w:r>
      <w:r>
        <w:rPr>
          <w:b/>
        </w:rPr>
        <w:t>Schedules I-II</w:t>
      </w:r>
      <w:r>
        <w:rPr/>
        <w:t>) constitutes the entire agreement and understanding of the parties with respect to the subject matter hereof and supersedes all oral communication and prior writings with respect hereto and thereto.</w:t>
      </w:r>
    </w:p>
    <w:p>
      <w:pPr>
        <w:pStyle w:val="Normal"/>
        <w:widowControl/>
        <w:tabs>
          <w:tab w:val="clear" w:pos="720"/>
          <w:tab w:val="left" w:pos="0" w:leader="none"/>
        </w:tabs>
        <w:suppressAutoHyphens w:val="true"/>
        <w:spacing w:lineRule="atLeast" w:line="240" w:before="0" w:after="240"/>
        <w:ind w:hanging="720" w:start="720" w:end="0"/>
        <w:jc w:val="both"/>
        <w:rPr>
          <w:rFonts w:ascii="Times New Roman" w:hAnsi="Times New Roman" w:cs="Times New Roman"/>
        </w:rPr>
      </w:pPr>
      <w:r>
        <w:rPr>
          <w:rFonts w:cs="Times New Roman" w:ascii="Times New Roman" w:hAnsi="Times New Roman"/>
        </w:rPr>
        <w:t>11.</w:t>
        <w:tab/>
      </w:r>
      <w:r>
        <w:rPr>
          <w:rFonts w:cs="Times New Roman" w:ascii="Times New Roman" w:hAnsi="Times New Roman"/>
          <w:u w:val="single"/>
        </w:rPr>
        <w:t>Counterparts</w:t>
      </w:r>
    </w:p>
    <w:p>
      <w:pPr>
        <w:pStyle w:val="BodyTextJ"/>
        <w:widowControl/>
        <w:ind w:hanging="0" w:end="0"/>
        <w:rPr/>
      </w:pPr>
      <w:r>
        <w:rPr/>
        <w:t>This Agreement may be executed in counterparts and by facsimile, each of which shall constitute an original instrument and all of which taken together shall constitute one and the same agreement.</w:t>
      </w:r>
    </w:p>
    <w:p>
      <w:pPr>
        <w:pStyle w:val="BodyTextJ"/>
        <w:widowControl/>
        <w:ind w:hanging="0" w:end="0"/>
        <w:rPr/>
      </w:pPr>
      <w:r>
        <w:rPr/>
        <w:br/>
        <w:t>12.</w:t>
        <w:tab/>
      </w:r>
      <w:r>
        <w:rPr>
          <w:u w:val="single"/>
        </w:rPr>
        <w:t>Assignment;</w:t>
      </w:r>
      <w:r>
        <w:rPr/>
        <w:t xml:space="preserve"> </w:t>
      </w:r>
      <w:r>
        <w:rPr>
          <w:u w:val="single"/>
        </w:rPr>
        <w:t>Successors and Assigns</w:t>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BodyTextJ"/>
        <w:widowControl/>
        <w:ind w:hanging="0" w:end="0"/>
        <w:rPr/>
      </w:pPr>
      <w:r>
        <w:rPr/>
        <w:t>This Agreement may not be assigned by any party without the prior written consent of the other parties hereto.  This Agreement shall be binding and inure to the benefit of and be enforceable by the parties hereto and their respective successors and permitted assigns.</w:t>
      </w:r>
    </w:p>
    <w:p>
      <w:pPr>
        <w:pStyle w:val="BodyTextJ"/>
        <w:widowControl/>
        <w:ind w:hanging="0" w:end="0"/>
        <w:rPr/>
      </w:pPr>
      <w:r>
        <w:rPr/>
      </w:r>
    </w:p>
    <w:p>
      <w:pPr>
        <w:pStyle w:val="BodyText"/>
        <w:widowControl/>
        <w:rPr/>
      </w:pPr>
      <w:r>
        <w:rPr>
          <w:b/>
        </w:rPr>
        <w:t>IN WITNESS WHEREOF</w:t>
      </w:r>
      <w:r>
        <w:rPr/>
        <w:t xml:space="preserve">, the parties hereto have executed and delivered this </w:t>
      </w:r>
      <w:r>
        <w:rPr>
          <w:b/>
          <w:u w:val="double"/>
        </w:rPr>
        <w:t>Transfer and Assumption</w:t>
      </w:r>
      <w:r>
        <w:rPr/>
        <w:t xml:space="preserve"> Agreement as of the date first written above.</w:t>
      </w:r>
    </w:p>
    <w:p>
      <w:pPr>
        <w:pStyle w:val="Normal"/>
        <w:widowControl/>
        <w:suppressAutoHyphens w:val="true"/>
        <w:spacing w:lineRule="atLeast" w:line="240" w:before="0" w:after="480"/>
        <w:ind w:start="5040" w:end="0"/>
        <w:rPr>
          <w:rFonts w:ascii="Times New Roman" w:hAnsi="Times New Roman" w:cs="Times New Roman"/>
        </w:rPr>
      </w:pPr>
      <w:r>
        <w:rPr>
          <w:rFonts w:cs="Times New Roman" w:ascii="Times New Roman" w:hAnsi="Times New Roman"/>
        </w:rPr>
        <w:t>ENRON POWER MARKETING, INC.</w:t>
      </w:r>
    </w:p>
    <w:p>
      <w:pPr>
        <w:pStyle w:val="Normal"/>
        <w:widowContro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widowContro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Name: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480"/>
        <w:ind w:hanging="5040" w:start="504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ab/>
        <w:tab/>
        <w:tab/>
        <w:tab/>
        <w:tab/>
        <w:tab/>
        <w:t xml:space="preserve"> </w:t>
        <w:tab/>
        <w:t>Title:</w:t>
        <w:tab/>
        <w:tab/>
      </w:r>
    </w:p>
    <w:p>
      <w:pPr>
        <w:pStyle w:val="Normal"/>
        <w:widowControl/>
        <w:suppressAutoHyphens w:val="true"/>
        <w:spacing w:lineRule="atLeast" w:line="240" w:before="0" w:after="480"/>
        <w:ind w:start="5040" w:end="0"/>
        <w:rPr>
          <w:rFonts w:ascii="Times New Roman" w:hAnsi="Times New Roman" w:cs="Times New Roman"/>
        </w:rPr>
      </w:pPr>
      <w:r>
        <w:rPr>
          <w:rFonts w:cs="Times New Roman" w:ascii="Times New Roman" w:hAnsi="Times New Roman"/>
        </w:rPr>
        <w:t>ENRON NORTH AMERICA CORP.</w:t>
      </w:r>
    </w:p>
    <w:p>
      <w:pPr>
        <w:pStyle w:val="Normal"/>
        <w:widowContro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widowContro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 xml:space="preserve">Name:       </w:t>
        <w:tab/>
        <w:tab/>
        <w:tab/>
        <w:tab/>
        <w:tab/>
        <w:t>Title:</w:t>
      </w:r>
    </w:p>
    <w:p>
      <w:pPr>
        <w:pStyle w:val="Normal"/>
        <w:widowControl/>
        <w:suppressAutoHyphens w:val="true"/>
        <w:spacing w:lineRule="atLeast" w:line="240" w:before="0" w:after="480"/>
        <w:ind w:start="5040" w:end="-480"/>
        <w:rPr>
          <w:rFonts w:ascii="Times New Roman" w:hAnsi="Times New Roman" w:cs="Times New Roman"/>
        </w:rPr>
      </w:pPr>
      <w:r>
        <w:rPr>
          <w:rFonts w:cs="Times New Roman" w:ascii="Times New Roman" w:hAnsi="Times New Roman"/>
        </w:rPr>
      </w:r>
    </w:p>
    <w:p>
      <w:pPr>
        <w:pStyle w:val="Normal"/>
        <w:widowControl/>
        <w:suppressAutoHyphens w:val="true"/>
        <w:spacing w:lineRule="atLeast" w:line="240" w:before="0" w:after="480"/>
        <w:ind w:start="5040" w:end="-1440"/>
        <w:rPr>
          <w:rFonts w:ascii="Times New Roman" w:hAnsi="Times New Roman" w:cs="Times New Roman"/>
        </w:rPr>
      </w:pPr>
      <w:r>
        <w:rPr>
          <w:rFonts w:cs="Times New Roman" w:ascii="Times New Roman" w:hAnsi="Times New Roman"/>
        </w:rPr>
        <w:t>MERRILL LYNCH CAPITAL SERVICES, INC.</w:t>
      </w:r>
    </w:p>
    <w:p>
      <w:pPr>
        <w:pStyle w:val="Normal"/>
        <w:widowContro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widowContro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 xml:space="preserve">Name: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ab/>
        <w:tab/>
        <w:tab/>
        <w:tab/>
        <w:tab/>
        <w:tab/>
        <w:t xml:space="preserve"> </w:t>
        <w:tab/>
        <w:t xml:space="preserve">Title: </w:t>
      </w:r>
    </w:p>
    <w:p>
      <w:pPr>
        <w:pStyle w:val="Normal"/>
        <w:widowControl/>
        <w:suppressAutoHyphens w:val="true"/>
        <w:spacing w:lineRule="atLeast" w:line="240" w:before="0" w:after="480"/>
        <w:ind w:start="5040" w:end="-480"/>
        <w:rPr>
          <w:rFonts w:ascii="Times New Roman" w:hAnsi="Times New Roman" w:cs="Times New Roman"/>
        </w:rPr>
      </w:pPr>
      <w:r>
        <w:rPr>
          <w:rFonts w:cs="Times New Roman" w:ascii="Times New Roman" w:hAnsi="Times New Roman"/>
        </w:rPr>
      </w:r>
    </w:p>
    <w:p>
      <w:pPr>
        <w:pStyle w:val="Normal"/>
        <w:widowControl/>
        <w:suppressAutoHyphens w:val="true"/>
        <w:spacing w:lineRule="atLeast" w:line="240" w:before="0" w:after="480"/>
        <w:ind w:start="5040" w:end="-1440"/>
        <w:rPr>
          <w:rFonts w:ascii="Times New Roman" w:hAnsi="Times New Roman" w:cs="Times New Roman"/>
        </w:rPr>
      </w:pPr>
      <w:r>
        <w:rPr>
          <w:rFonts w:cs="Times New Roman" w:ascii="Times New Roman" w:hAnsi="Times New Roman"/>
        </w:rPr>
        <w:t>MERRILL LYNCH &amp; CO., INC.</w:t>
      </w:r>
    </w:p>
    <w:p>
      <w:pPr>
        <w:pStyle w:val="Normal"/>
        <w:widowContro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widowContro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 xml:space="preserve">Name: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ab/>
        <w:tab/>
        <w:tab/>
        <w:tab/>
        <w:tab/>
        <w:tab/>
        <w:t xml:space="preserve"> </w:t>
        <w:tab/>
        <w:t xml:space="preserve">Title: </w:t>
      </w:r>
    </w:p>
    <w:p>
      <w:pPr>
        <w:pStyle w:val="Normal"/>
        <w:widowControl/>
        <w:suppressAutoHyphens w:val="true"/>
        <w:spacing w:lineRule="atLeast" w:line="240" w:before="0" w:after="480"/>
        <w:ind w:start="5040" w:end="-480"/>
        <w:rPr>
          <w:rFonts w:ascii="Times New Roman" w:hAnsi="Times New Roman" w:cs="Times New Roman"/>
        </w:rPr>
      </w:pPr>
      <w:r>
        <w:rPr>
          <w:rFonts w:cs="Times New Roman" w:ascii="Times New Roman" w:hAnsi="Times New Roman"/>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tab/>
        <w:tab/>
        <w:tab/>
        <w:tab/>
        <w:tab/>
        <w:tab/>
        <w:tab/>
        <w:t>ALLEGHENY ENERGY SUPPLY COMPANY, LLC</w:t>
        <w:br/>
      </w:r>
    </w:p>
    <w:p>
      <w:pPr>
        <w:pStyle w:val="Normal"/>
        <w:widowContro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widowContro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 xml:space="preserve">Name: </w:t>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ab/>
        <w:tab/>
        <w:tab/>
        <w:tab/>
        <w:tab/>
        <w:tab/>
        <w:t xml:space="preserve"> </w:t>
        <w:tab/>
        <w:t>Title: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r>
    </w:p>
    <w:p>
      <w:pPr>
        <w:pStyle w:val="Normal"/>
        <w:widowControl/>
        <w:suppressAutoHyphens w:val="true"/>
        <w:spacing w:lineRule="atLeast" w:line="240"/>
        <w:jc w:val="center"/>
        <w:rPr>
          <w:rFonts w:ascii="Times New Roman" w:hAnsi="Times New Roman" w:cs="Times New Roman"/>
          <w:b/>
        </w:rPr>
      </w:pPr>
      <w:r>
        <w:rPr>
          <w:rFonts w:cs="Times New Roman" w:ascii="Times New Roman" w:hAnsi="Times New Roman"/>
          <w:b/>
        </w:rPr>
        <w:t>SCHEDULE I</w:t>
      </w:r>
    </w:p>
    <w:p>
      <w:pPr>
        <w:pStyle w:val="Normal"/>
        <w:widowControl/>
        <w:rPr>
          <w:rFonts w:ascii="Times New Roman" w:hAnsi="Times New Roman" w:cs="Times New Roman"/>
          <w:b/>
        </w:rPr>
      </w:pPr>
      <w:r>
        <w:rPr>
          <w:rFonts w:cs="Times New Roman" w:ascii="Times New Roman" w:hAnsi="Times New Roman"/>
          <w:b/>
        </w:rPr>
      </w:r>
    </w:p>
    <w:p>
      <w:pPr>
        <w:pStyle w:val="Normal"/>
        <w:widowControl/>
        <w:suppressAutoHyphens w:val="true"/>
        <w:spacing w:lineRule="atLeast" w:line="240" w:before="0" w:after="240"/>
        <w:jc w:val="center"/>
        <w:rPr>
          <w:rFonts w:ascii="Times New Roman" w:hAnsi="Times New Roman" w:cs="Times New Roman"/>
          <w:b/>
          <w:u w:val="single"/>
        </w:rPr>
      </w:pPr>
      <w:r>
        <w:rPr>
          <w:rFonts w:cs="Times New Roman" w:ascii="Times New Roman" w:hAnsi="Times New Roman"/>
          <w:b/>
          <w:u w:val="single"/>
        </w:rPr>
        <w:t>Transactions</w:t>
      </w:r>
    </w:p>
    <w:p>
      <w:pPr>
        <w:pStyle w:val="Normal"/>
        <w:widowControl/>
        <w:suppressAutoHyphens w:val="true"/>
        <w:spacing w:lineRule="atLeast" w:line="240" w:before="0" w:after="240"/>
        <w:rPr>
          <w:rFonts w:ascii="Times New Roman" w:hAnsi="Times New Roman" w:cs="Times New Roman"/>
          <w:b/>
          <w:u w:val="single"/>
        </w:rPr>
      </w:pPr>
      <w:r>
        <w:rPr>
          <w:rFonts w:cs="Times New Roman" w:ascii="Times New Roman" w:hAnsi="Times New Roman"/>
          <w:b/>
          <w:u w:val="single"/>
        </w:rPr>
      </w:r>
    </w:p>
    <w:p>
      <w:pPr>
        <w:pStyle w:val="Normal"/>
        <w:widowControl/>
        <w:suppressAutoHyphens w:val="true"/>
        <w:spacing w:lineRule="atLeast" w:line="240" w:before="0" w:after="240"/>
        <w:rPr>
          <w:rFonts w:ascii="Times New Roman" w:hAnsi="Times New Roman" w:cs="Times New Roman"/>
          <w:b/>
          <w:u w:val="single"/>
        </w:rPr>
      </w:pPr>
      <w:r>
        <w:rPr>
          <w:rFonts w:cs="Times New Roman" w:ascii="Times New Roman" w:hAnsi="Times New Roman"/>
          <w:b/>
          <w:u w:val="single"/>
        </w:rPr>
      </w:r>
      <w:r>
        <w:br w:type="page"/>
      </w:r>
    </w:p>
    <w:p>
      <w:pPr>
        <w:pStyle w:val="Normal"/>
        <w:widowControl/>
        <w:suppressAutoHyphens w:val="true"/>
        <w:spacing w:lineRule="atLeast" w:line="240" w:before="0" w:after="240"/>
        <w:jc w:val="center"/>
        <w:rPr>
          <w:rFonts w:ascii="Times New Roman" w:hAnsi="Times New Roman" w:cs="Times New Roman"/>
          <w:b/>
        </w:rPr>
      </w:pPr>
      <w:r>
        <w:rPr>
          <w:rFonts w:cs="Times New Roman" w:ascii="Times New Roman" w:hAnsi="Times New Roman"/>
          <w:b/>
        </w:rPr>
        <w:t>SCHEDULE II</w:t>
      </w:r>
    </w:p>
    <w:p>
      <w:pPr>
        <w:pStyle w:val="Normal"/>
        <w:widowControl/>
        <w:suppressAutoHyphens w:val="true"/>
        <w:spacing w:lineRule="atLeast" w:line="240" w:before="0" w:after="240"/>
        <w:jc w:val="center"/>
        <w:rPr>
          <w:rFonts w:ascii="Times New Roman" w:hAnsi="Times New Roman" w:cs="Times New Roman"/>
          <w:b/>
          <w:u w:val="single"/>
        </w:rPr>
      </w:pPr>
      <w:r>
        <w:rPr>
          <w:rFonts w:cs="Times New Roman" w:ascii="Times New Roman" w:hAnsi="Times New Roman"/>
          <w:b/>
          <w:u w:val="single"/>
        </w:rPr>
        <w:t>ML&amp; Co. Guarantees</w:t>
      </w:r>
    </w:p>
    <w:p>
      <w:pPr>
        <w:pStyle w:val="Normal"/>
        <w:widowControl/>
        <w:suppressAutoHyphens w:val="true"/>
        <w:spacing w:lineRule="atLeast" w:line="240" w:before="0" w:after="240"/>
        <w:rPr>
          <w:rFonts w:ascii="Times New Roman" w:hAnsi="Times New Roman" w:cs="Times New Roman"/>
        </w:rPr>
      </w:pPr>
      <w:r>
        <w:rPr>
          <w:rFonts w:cs="Times New Roman" w:ascii="Times New Roman" w:hAnsi="Times New Roman"/>
        </w:rPr>
        <w:t>1.  Guarantee of Merrill Lynch &amp; Co., Inc dated December 29, 1999 in favor of Enron Power Marketing, Inc.</w:t>
      </w:r>
    </w:p>
    <w:p>
      <w:pPr>
        <w:pStyle w:val="Normal"/>
        <w:widowControl/>
        <w:suppressAutoHyphens w:val="true"/>
        <w:spacing w:lineRule="atLeast" w:line="240" w:before="0" w:after="240"/>
        <w:rPr>
          <w:rFonts w:ascii="Times New Roman" w:hAnsi="Times New Roman" w:cs="Times New Roman"/>
        </w:rPr>
      </w:pPr>
      <w:r>
        <w:rPr>
          <w:rFonts w:cs="Times New Roman" w:ascii="Times New Roman" w:hAnsi="Times New Roman"/>
        </w:rPr>
      </w:r>
    </w:p>
    <w:p>
      <w:pPr>
        <w:pStyle w:val="Normal"/>
        <w:widowControl/>
        <w:suppressAutoHyphens w:val="true"/>
        <w:spacing w:lineRule="atLeast" w:line="240" w:before="0" w:after="240"/>
        <w:rPr>
          <w:rFonts w:ascii="Times New Roman" w:hAnsi="Times New Roman" w:cs="Times New Roman"/>
        </w:rPr>
      </w:pPr>
      <w:r>
        <w:rPr>
          <w:rFonts w:cs="Times New Roman" w:ascii="Times New Roman" w:hAnsi="Times New Roman"/>
        </w:rPr>
        <w:t>2.  Guarantee of Merrill Lynch &amp; Co., Inc. dated March 11, 1994 in favor of Enron Risk Management Services Corp.</w:t>
      </w:r>
    </w:p>
    <w:p>
      <w:pPr>
        <w:pStyle w:val="BodyText"/>
        <w:widowControl/>
        <w:ind w:hanging="0" w:end="0"/>
        <w:jc w:val="end"/>
        <w:rPr>
          <w:rFonts w:ascii="Times New Roman" w:hAnsi="Times New Roman" w:cs="Times New Roman"/>
        </w:rPr>
      </w:pPr>
      <w:r>
        <w:rPr>
          <w:rFonts w:cs="Times New Roman"/>
        </w:rPr>
      </w:r>
    </w:p>
    <w:p>
      <w:pPr>
        <w:pStyle w:val="Normal"/>
        <w:widowControl/>
        <w:rPr>
          <w:rFonts w:ascii="Times New Roman" w:hAnsi="Times New Roman" w:cs="Times New Roman"/>
        </w:rPr>
      </w:pPr>
      <w:r>
        <w:rPr>
          <w:rFonts w:cs="Times New Roman" w:ascii="Times New Roman" w:hAnsi="Times New Roman"/>
        </w:rPr>
      </w:r>
    </w:p>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DocX97" w:date="0-00-00T00:00:00Z" w:initials="DocX97">
    <w:p>
      <w:pPr>
        <w:overflowPunct w:val="false"/>
        <w:bidi w:val="0"/>
        <w:rPr/>
      </w:pPr>
      <w:r>
        <w:annotationRef/>
      </w:r>
      <w:r>
        <w:rPr>
          <w:rFonts w:ascii="Times New Roman" w:hAnsi="Times New Roman" w:eastAsia="Times New Roman" w:cs="Times New Roman"/>
          <w:color w:val="auto"/>
          <w:sz w:val="20"/>
          <w:szCs w:val="20"/>
          <w:lang w:bidi="en-US" w:val="en-US" w:eastAsia="en-US"/>
        </w:rPr>
        <w:t>***DocX97 Reports FooterB-1 text was:***</w:t>
      </w:r>
    </w:p>
    <w:p>
      <w:pPr>
        <w:overflowPunct w:val="false"/>
        <w:bidi w:val="0"/>
        <w:rPr/>
      </w:pPr>
      <w:r>
        <w:rPr>
          <w:rFonts w:ascii="Times New Roman" w:hAnsi="Times New Roman" w:eastAsia="Times New Roman" w:cs="Times New Roman"/>
          <w:color w:val="auto"/>
          <w:sz w:val="20"/>
          <w:szCs w:val="20"/>
          <w:lang w:bidi="en-US" w:val="en-US" w:eastAsia="en-US"/>
        </w:rPr>
        <w:t>NYDOCS01/282123 4</w:t>
      </w:r>
      <w:r>
        <w:rPr>
          <w:rFonts w:ascii="Times New Roman" w:hAnsi="Times New Roman" w:eastAsia="Times New Roman" w:cs="Times New Roman"/>
          <w:color w:val="auto"/>
          <w:sz w:val="20"/>
          <w:szCs w:val="20"/>
          <w:lang w:bidi="en-US" w:val="en-US" w:eastAsia="en-US"/>
        </w:rPr>
      </w:r>
    </w:p>
    <w:p>
      <w:pPr>
        <w:overflowPunct w:val="false"/>
        <w:bidi w:val="0"/>
        <w:rPr/>
      </w:pPr>
      <w:r>
        <w:rPr>
          <w:rFonts w:ascii="Times New Roman" w:hAnsi="Times New Roman" w:eastAsia="Times New Roman" w:cs="Times New Roman"/>
          <w:color w:val="auto"/>
          <w:sz w:val="20"/>
          <w:szCs w:val="20"/>
          <w:lang w:bidi="en-US" w:val="en-US" w:eastAsia="en-US"/>
        </w:rPr>
        <w:t>***End Of FooterB1***</w:t>
      </w:r>
    </w:p>
    <w:p>
      <w:pPr>
        <w:overflowPunct w:val="false"/>
        <w:bidi w:val="0"/>
        <w:rPr/>
      </w:pPr>
      <w:r>
        <w:rPr>
          <w:rFonts w:cs="DejaVu Sans" w:eastAsia="DejaVu Sans" w:ascii="Liberation Serif" w:hAnsi="Liberation Serif"/>
          <w:szCs w:val="24"/>
          <w:lang w:bidi="en-US" w:val="en-US" w:eastAsia="en-US"/>
        </w:rPr>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Style w:val="DocID"/>
      </w:rPr>
    </w:pPr>
    <w:r>
      <w:rPr/>
    </w:r>
  </w:p>
  <w:p>
    <w:pPr>
      <w:pStyle w:val="Footer"/>
      <w:widowControl/>
      <w:rPr>
        <w:rStyle w:val="PageNumber"/>
        <w:sz w:val="24"/>
      </w:rPr>
    </w:pPr>
    <w:r>
      <w:rPr>
        <w:rStyle w:val="DocID"/>
      </w:rPr>
      <w:tab/>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6</w:t>
    </w:r>
    <w:r>
      <w:rPr>
        <w:rStyle w:val="PageNumber"/>
        <w:sz w:val="24"/>
      </w:rPr>
      <w:fldChar w:fldCharType="end"/>
    </w:r>
  </w:p>
  <w:p>
    <w:pPr>
      <w:pStyle w:val="Footer"/>
      <w:widowControl/>
      <w:rPr/>
    </w:pPr>
    <w:r>
      <w:rPr>
        <w:rStyle w:val="PageNumber"/>
        <w:sz w:val="15"/>
      </w:rPr>
      <w:t>WDC99 406379-1.056589.00144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sz w:val="15"/>
      </w:rPr>
      <w:t>WDC99 406379-1.056589.0014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Style w:val="DocID"/>
        <w:sz w:val="15"/>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9</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widowControl/>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9</w:t>
                    </w:r>
                    <w:r>
                      <w:rPr>
                        <w:rStyle w:val="PageNumber"/>
                        <w:sz w:val="24"/>
                      </w:rPr>
                      <w:fldChar w:fldCharType="end"/>
                    </w:r>
                  </w:p>
                </w:txbxContent>
              </v:textbox>
              <w10:wrap type="square"/>
            </v:rect>
          </w:pict>
        </mc:Fallback>
      </mc:AlternateContent>
    </w:r>
  </w:p>
  <w:p>
    <w:pPr>
      <w:pStyle w:val="Footer"/>
      <w:widowControl/>
      <w:rPr/>
    </w:pPr>
    <w:r>
      <w:rPr>
        <w:rStyle w:val="PageNumber"/>
        <w:sz w:val="15"/>
      </w:rPr>
      <w:t>WDC99 406379-1.056589.0014</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5"/>
      </w:rPr>
    </w:pPr>
    <w:r>
      <w:rPr>
        <w:sz w:val="15"/>
      </w:rPr>
      <w:t>WDC99 406261-2.056589.00144</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4"/>
      <w:szCs w:val="20"/>
      <w:lang w:val="en-US" w:eastAsia="en-US" w:bidi="hi-IN"/>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DocID">
    <w:name w:val="DocID"/>
    <w:basedOn w:val="DefaultParagraphFont"/>
    <w:qFormat/>
    <w:rPr>
      <w:sz w:val="16"/>
    </w:rPr>
  </w:style>
  <w:style w:type="character" w:styleId="PageNumber">
    <w:name w:val="page number"/>
    <w:basedOn w:val="DefaultParagraphFont"/>
    <w:rPr>
      <w:sz w:val="20"/>
    </w:rPr>
  </w:style>
  <w:style w:type="paragraph" w:styleId="Heading">
    <w:name w:val="Heading"/>
    <w:basedOn w:val="Normal"/>
    <w:next w:val="BodyText"/>
    <w:qFormat/>
    <w:pPr>
      <w:spacing w:before="0" w:after="240"/>
      <w:jc w:val="center"/>
    </w:pPr>
    <w:rPr>
      <w:rFonts w:ascii="Times New Roman" w:hAnsi="Times New Roman" w:cs="Times New Roman"/>
      <w:b/>
      <w:kern w:val="2"/>
    </w:rPr>
  </w:style>
  <w:style w:type="paragraph" w:styleId="BodyText">
    <w:name w:val="Body Text"/>
    <w:basedOn w:val="Normal"/>
    <w:pPr>
      <w:spacing w:before="0" w:after="240"/>
      <w:ind w:firstLine="1440" w:start="0" w:end="0"/>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Numbered">
    <w:name w:val="Body Text Numbered"/>
    <w:basedOn w:val="BodyText"/>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J">
    <w:name w:val="Body Text J"/>
    <w:basedOn w:val="BodyText"/>
    <w:qFormat/>
    <w:pPr>
      <w:jc w:val="both"/>
    </w:pPr>
    <w:rPr/>
  </w:style>
  <w:style w:type="paragraph" w:styleId="BlockTextJ">
    <w:name w:val="Block Text J"/>
    <w:basedOn w:val="Normal"/>
    <w:qFormat/>
    <w:pPr>
      <w:jc w:val="both"/>
    </w:pPr>
    <w:rPr>
      <w:rFonts w:ascii="Times New Roman" w:hAnsi="Times New Roman" w:cs="Times New Roman"/>
    </w:rPr>
  </w:style>
  <w:style w:type="paragraph" w:styleId="Footer">
    <w:name w:val="footer"/>
    <w:basedOn w:val="Normal"/>
    <w:pPr>
      <w:tabs>
        <w:tab w:val="clear" w:pos="720"/>
        <w:tab w:val="center" w:pos="4680" w:leader="none"/>
        <w:tab w:val="right" w:pos="9360" w:leader="none"/>
      </w:tabs>
    </w:pPr>
    <w:rPr>
      <w:rFonts w:ascii="Times New Roman" w:hAnsi="Times New Roman" w:cs="Times New Roman"/>
    </w:rPr>
  </w:style>
  <w:style w:type="paragraph" w:styleId="CommentText">
    <w:name w:val="Comment Text"/>
    <w:basedOn w:val="Normal"/>
    <w:qFormat/>
    <w:pPr/>
    <w:rPr>
      <w:rFonts w:ascii="Times New Roman" w:hAnsi="Times New Roman" w:cs="Times New Roman"/>
      <w:sz w:val="2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comments" Target="comments.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2001-03-16T17:57:00Z</dcterms:created>
  <dc:creator>MW&amp;E</dc:creator>
  <dc:description/>
  <dc:language>en-CA</dc:language>
  <cp:lastModifiedBy>MW&amp;E</cp:lastModifiedBy>
  <cp:lastPrinted>2001-03-16T14:16:00Z</cp:lastPrinted>
  <dcterms:modified xsi:type="dcterms:W3CDTF">2001-03-16T17:57:00Z</dcterms:modified>
  <cp:revision>3</cp:revision>
  <dc:subject/>
  <dc:title>TRANSFER AND ASSUMPTION AGREEMENT </dc:title>
</cp:coreProperties>
</file>