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March 16,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“EPMI Transactions”) or, in the case of ENAC, certain financial swaps, options, or other financially settled derivative transactions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rPr>
          <w:rFonts w:ascii="Times New Roman" w:hAnsi="Times New Roman" w:cs="Times New Roman"/>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rPr>
          <w:rFonts w:ascii="Times New Roman" w:hAnsi="Times New Roman" w:cs="Times New Roman"/>
        </w:rPr>
      </w:pPr>
      <w:r>
        <w:rPr>
          <w:rFonts w:cs="Times New Roman" w:ascii="Times New Roman" w:hAnsi="Times New Roman"/>
        </w:rPr>
      </w:r>
    </w:p>
    <w:p>
      <w:pPr>
        <w:pStyle w:val="BodyTextJ"/>
        <w:rPr/>
      </w:pPr>
      <w:r>
        <w:rPr>
          <w:b/>
        </w:rPr>
        <w:t>WHEREAS</w:t>
      </w:r>
      <w:r>
        <w:rPr/>
        <w:t xml:space="preserve">, Transferor has supplied Counterparty with collateral to secure payment on the Transactions in the amount of </w:t>
      </w:r>
      <w:r>
        <w:rPr>
          <w:b/>
        </w:rPr>
        <w:t>[$184,000,000]</w:t>
      </w:r>
      <w:r>
        <w:rPr/>
        <w:t xml:space="preserve"> (the "Transferor Collateral");</w:t>
      </w:r>
    </w:p>
    <w:p>
      <w:pPr>
        <w:pStyle w:val="BodyTextJ"/>
        <w:rPr/>
      </w:pPr>
      <w:r>
        <w:rPr>
          <w:b/>
        </w:rPr>
        <w:t>WHEREAS</w:t>
      </w:r>
      <w:r>
        <w:rPr/>
        <w:t xml:space="preserve">, Transferee has agreed to provide collateral to Counterparty in the amount of </w:t>
      </w:r>
      <w:r>
        <w:rPr>
          <w:b/>
        </w:rPr>
        <w:t>[$184,000,000]</w:t>
      </w:r>
      <w:r>
        <w:rPr/>
        <w:t xml:space="preserve"> to secure the Transactions in place of the Transferor Collateral (the "Transferee Collateral"); </w:t>
      </w:r>
    </w:p>
    <w:p>
      <w:pPr>
        <w:pStyle w:val="BodyTextJ"/>
        <w:rPr/>
      </w:pPr>
      <w:r>
        <w:rPr>
          <w:b/>
        </w:rPr>
        <w:t>WHEREAS</w:t>
      </w:r>
      <w:r>
        <w:rPr/>
        <w:t>, upon the receipt by the respective Counterparties of the Transferee Collateral, and the return to Transferor of the Transferor Collateral (the "Collateral Return"), Transferor desires to transfer, and Transferee desires to accept the transfer of and assume, the Transactions; and</w:t>
      </w:r>
    </w:p>
    <w:p>
      <w:pPr>
        <w:pStyle w:val="BodyTextJ"/>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Effective as of the Collateral Return,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Effective as of the Collateral Return, Transferee accepts the sale, assignment, and transfer of the Transactions as provided in Section 1(a), and agrees to perform all obligations arising out of or to be performed under the Transactions after the Collateral Return.</w:t>
      </w:r>
    </w:p>
    <w:p>
      <w:pPr>
        <w:pStyle w:val="BodyTextJ"/>
        <w:ind w:hanging="0" w:start="720" w:end="0"/>
        <w:rPr/>
      </w:pPr>
      <w:r>
        <w:rPr/>
        <w:t>(c)</w:t>
        <w:tab/>
        <w:t>Effective as of the Collateral Return, the EPMI Transactions will be governed by the EMPI Contract and the ENAC Transactions will be governed by the ENAC Contract.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 xml:space="preserve">(d) The spreadsheets of Transactions attached hereto as </w:t>
      </w:r>
      <w:r>
        <w:rPr>
          <w:b/>
        </w:rPr>
        <w:t>Schedule I</w:t>
      </w:r>
      <w:r>
        <w:rPr/>
        <w:t xml:space="preserve"> (the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w:t>
      </w:r>
      <w:r>
        <w:rPr>
          <w:b/>
        </w:rPr>
        <w:t>Schedule I</w:t>
      </w:r>
      <w:r>
        <w:rPr/>
        <w:t>.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 xml:space="preserve">Effective as of the Collateral Return, each Counterparty consents to the sale, assignment, and transfer of the Transactions by Transferor to Transferee and the acceptance and assumption by Transferee of the Transactions and all rights and obligations thereunder (including amounts and liabilities accrued but not paid) , all as provided in Section 1. </w:t>
      </w:r>
      <w:r>
        <w:br w:type="page"/>
      </w:r>
    </w:p>
    <w:p>
      <w:pPr>
        <w:pStyle w:val="BodyTextJ"/>
        <w:ind w:hanging="0" w:end="0"/>
        <w:rPr/>
      </w:pPr>
      <w:r>
        <w:rPr/>
      </w:r>
    </w:p>
    <w:p>
      <w:pPr>
        <w:pStyle w:val="BlockTextJ"/>
        <w:spacing w:before="0" w:after="240"/>
        <w:rPr/>
      </w:pPr>
      <w:r>
        <w:rPr/>
        <w:t>3.</w:t>
        <w:tab/>
      </w:r>
      <w:r>
        <w:rPr>
          <w:u w:val="single"/>
        </w:rPr>
        <w:t>Termination and Release</w:t>
      </w:r>
    </w:p>
    <w:p>
      <w:pPr>
        <w:pStyle w:val="BodyTextJ"/>
        <w:ind w:hanging="0" w:start="720" w:end="0"/>
        <w:rPr/>
      </w:pPr>
      <w:r>
        <w:rPr/>
        <w:t>(a)</w:t>
        <w:tab/>
        <w:t>Each Counterparty and ML&amp;Co. agree that, effective immediately upon the Collateral Return, each of the Counterparties shall release and promptly return, to ML&amp;Co. and Transferor respectively, the appropriate ML&amp;Co. Guarantee and the  Transferor Collateral.</w:t>
      </w:r>
    </w:p>
    <w:p>
      <w:pPr>
        <w:pStyle w:val="BodyTextJ"/>
        <w:ind w:hanging="0" w:start="720" w:end="0"/>
        <w:rPr/>
      </w:pPr>
      <w:r>
        <w:rPr/>
        <w:t>(b)</w:t>
        <w:tab/>
        <w:t>Effective immediately upon the Collateral Return, Transferee and Counterparties agree that Transferor shall have no liability to Transferee or either Counterparty for any obligation, claim, damage, action, penalty, fee or other liability under the Transactions, or under the ML&amp;Co. Guarantee of the obligations resulting from such Transactions,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Transferee agrees to indemnify Counterparties in the event that Transferor fails to meet its obligations under this Section 3(b).</w:t>
      </w:r>
    </w:p>
    <w:p>
      <w:pPr>
        <w:pStyle w:val="BodyTextJ"/>
        <w:rPr/>
      </w:pPr>
      <w:r>
        <w:rPr/>
        <w:br/>
        <w:t>4.</w:t>
        <w:tab/>
      </w:r>
      <w:r>
        <w:rPr>
          <w:u w:val="single"/>
        </w:rPr>
        <w:t>Confidentiality</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and</w:t>
      </w:r>
    </w:p>
    <w:p>
      <w:pPr>
        <w:pStyle w:val="Norma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This Agreement shall be governed by, and construed and enforced in accordance with, the laws of the State of New York without regard to choice of law principles.</w:t>
      </w:r>
    </w:p>
    <w:p>
      <w:pPr>
        <w:pStyle w:val="BodyTextJ"/>
        <w:ind w:hanging="0" w:end="0"/>
        <w:rPr/>
      </w:pPr>
      <w:r>
        <w:rPr/>
        <w:t>7.</w:t>
        <w:tab/>
      </w:r>
      <w:r>
        <w:rPr>
          <w:u w:val="single"/>
        </w:rPr>
        <w:t>Arbitration</w:t>
      </w:r>
      <w:r>
        <w:rPr/>
        <w:t xml:space="preserve">  </w:t>
      </w:r>
    </w:p>
    <w:p>
      <w:pPr>
        <w:pStyle w:val="BodyTextJ"/>
        <w:ind w:hanging="0" w:end="0"/>
        <w:rPr/>
      </w:pPr>
      <w:r>
        <w:rPr/>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  Any judicial action for equitable relief shall be brought only in a federal court of competent jurisdiction located in the state, county and city of New York, Borough of Manhattan.  In the event such judicial proceedings are instituted by any party, the prevailing party shall be entitled to award of its costs and attorneys' fees incurred in connection with such proceedings.</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This Agreement may be amended or any of its provisions waived only by a written instrument signed by the parties hereto.</w:t>
      </w:r>
    </w:p>
    <w:p>
      <w:pPr>
        <w:pStyle w:val="BlockTextJ"/>
        <w:rPr/>
      </w:pPr>
      <w:r>
        <w:rPr/>
        <w:t>10.</w:t>
        <w:tab/>
      </w:r>
      <w:r>
        <w:rPr>
          <w:u w:val="single"/>
        </w:rPr>
        <w:t>Entire Agreement</w:t>
      </w:r>
    </w:p>
    <w:p>
      <w:pPr>
        <w:pStyle w:val="BodyTextJ"/>
        <w:spacing w:before="0" w:after="0"/>
        <w:rPr/>
      </w:pPr>
      <w:r>
        <w:rPr/>
      </w:r>
    </w:p>
    <w:p>
      <w:pPr>
        <w:pStyle w:val="BodyTextJ"/>
        <w:ind w:hanging="0" w:end="0"/>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w:t>
      </w:r>
      <w:r>
        <w:rPr/>
        <w:t xml:space="preserve"> </w:t>
      </w:r>
      <w:r>
        <w:rPr>
          <w:u w:val="single"/>
        </w:rPr>
        <w:t>Successors and Assigns</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BodyTextJ"/>
        <w:ind w:hanging="0" w:end="0"/>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ML&amp; Co. Guarantees</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p>
    <w:p>
      <w:pPr>
        <w:pStyle w:val="BodyText"/>
        <w:ind w:hanging="0" w:end="0"/>
        <w:jc w:val="end"/>
        <w:rPr>
          <w:rFonts w:ascii="Times New Roman" w:hAnsi="Times New Roman" w:cs="Times New Roman"/>
        </w:rPr>
      </w:pPr>
      <w:r>
        <w:rPr>
          <w:rFonts w:cs="Times New Roman"/>
        </w:rPr>
      </w:r>
    </w:p>
    <w:p>
      <w:pPr>
        <w:pStyle w:val="Normal"/>
        <w:rPr>
          <w:rFonts w:ascii="Times New Roman" w:hAnsi="Times New Roman" w:cs="Times New Roman"/>
        </w:rPr>
      </w:pPr>
      <w:r>
        <w:rPr>
          <w:rFonts w:cs="Times New Roman" w:ascii="Times New Roman" w:hAnsi="Times New Roman"/>
        </w:rPr>
      </w:r>
    </w:p>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406261-2.056589.00144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5"/>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sz w:val="15"/>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pPr>
    <w:r>
      <w:rPr>
        <w:rStyle w:val="DocID"/>
        <w:sz w:val="15"/>
      </w:rPr>
      <w:t>WDC99 406261-2.056589.0014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2001-03-16T17:56:00Z</dcterms:created>
  <dc:creator>MW&amp;E</dc:creator>
  <dc:description/>
  <dc:language>en-CA</dc:language>
  <cp:lastModifiedBy>MW&amp;E</cp:lastModifiedBy>
  <cp:lastPrinted>2001-03-16T14:16:00Z</cp:lastPrinted>
  <dcterms:modified xsi:type="dcterms:W3CDTF">2001-03-16T17:56:00Z</dcterms:modified>
  <cp:revision>2</cp:revision>
  <dc:subject/>
  <dc:title>TRANSFER AND ASSUMPTION AGREEMENT </dc:title>
</cp:coreProperties>
</file>