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Black" w:hAnsi="Arial Black" w:cs="Arial Black"/>
          <w:b w:val="false"/>
          <w:bCs w:val="false"/>
          <w:sz w:val="28"/>
        </w:rPr>
      </w:pPr>
      <w:r>
        <w:rPr>
          <w:rFonts w:cs="Arial Black" w:ascii="Arial Black" w:hAnsi="Arial Black"/>
          <w:b w:val="false"/>
          <w:bCs w:val="false"/>
          <w:sz w:val="28"/>
        </w:rPr>
        <w:t>WBI Storage Summary</w:t>
      </w:r>
    </w:p>
    <w:p>
      <w:pPr>
        <w:pStyle w:val="Normal"/>
        <w:rPr>
          <w:rFonts w:ascii="Arial" w:hAnsi="Arial" w:cs="Arial"/>
          <w:b/>
          <w:bCs/>
          <w:sz w:val="20"/>
          <w:lang w:val="en-CA" w:eastAsia="en-CA"/>
        </w:rPr>
      </w:pPr>
      <w:r>
        <w:rPr>
          <w:rFonts w:cs="Arial" w:ascii="Arial" w:hAnsi="Arial"/>
          <w:b/>
          <w:bCs/>
          <w:sz w:val="20"/>
          <w:lang w:val="en-CA" w:eastAsia="en-CA"/>
        </w:rPr>
        <mc:AlternateContent>
          <mc:Choice Requires="wps">
            <w:drawing>
              <wp:anchor behindDoc="0" distT="0" distB="0" distL="114935" distR="114935" simplePos="0" locked="0" layoutInCell="1" allowOverlap="1" relativeHeight="3">
                <wp:simplePos x="0" y="0"/>
                <wp:positionH relativeFrom="column">
                  <wp:posOffset>9525</wp:posOffset>
                </wp:positionH>
                <wp:positionV relativeFrom="paragraph">
                  <wp:posOffset>34290</wp:posOffset>
                </wp:positionV>
                <wp:extent cx="3076575" cy="0"/>
                <wp:effectExtent l="0" t="14605" r="0" b="14605"/>
                <wp:wrapNone/>
                <wp:docPr id="1" name=""/>
                <a:graphic xmlns:a="http://schemas.openxmlformats.org/drawingml/2006/main">
                  <a:graphicData uri="http://schemas.microsoft.com/office/word/2010/wordprocessingShape">
                    <wps:wsp>
                      <wps:cNvSpPr/>
                      <wps:spPr>
                        <a:xfrm>
                          <a:off x="0" y="0"/>
                          <a:ext cx="307656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0.75pt,2.7pt" to="242.95pt,2.7pt" stroked="t" o:allowincell="f" style="position:absolute">
                <v:stroke color="blue" weight="28440" joinstyle="miter" endcap="flat"/>
                <v:fill o:detectmouseclick="t" on="false"/>
                <w10:wrap type="none"/>
              </v:line>
            </w:pict>
          </mc:Fallback>
        </mc:AlternateContent>
      </w:r>
    </w:p>
    <w:p>
      <w:pPr>
        <w:pStyle w:val="Normal"/>
        <w:rPr>
          <w:rFonts w:ascii="Arial Narrow" w:hAnsi="Arial Narrow" w:cs="Arial Narrow"/>
        </w:rPr>
      </w:pPr>
      <w:r>
        <w:rPr>
          <w:rFonts w:cs="Arial Narrow" w:ascii="Arial Narrow" w:hAnsi="Arial Narrow"/>
        </w:rPr>
        <w:t xml:space="preserve">The storage fields on Williston Basin Interstate (WBI) are some of the largest in the world.  However they are relatively inefficient and underutilized.  This is evident in the large disparity between working gas capacity and actual working gas, as well as the tremendous amount of base gas required to pressurize the facility.  The underutilization is primarily a result of the lack of pipeline infrastructure and local market in North and South Dakota.  </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storage services offered by WBI are broken down into Firm (FSS) and Interruptible (ISS).  The Firm is primarily held by Montana Dakota Utilities (MDU) which an affiliate of WBI and serves gas customers throughout the Dakotas, Montana and Wyoming.</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ISS is a seasonal program whose participants are primarily marketers and Rockies producers.  ENA holds a contract but has only participated on a limited basis in 2001, because we were able to negotiate a better deal with Montana Power Company (MPC) for similar service.  ENA will end up with approximately 1 BCF in MPC storage this winter.</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ENA Denver has extensive experience on WBI.  Prior to coming to ENA we were the largest marketer on the system.  Small customers, a few midsize industrials and MDU characterize the system.  The pipeline system is actually 4 subsystems with each having unique supply/demand characteristics and capacity constraints.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pipeline and the company have a long interesting history.  If you desire additional information or contacts, please let me know.</w:t>
      </w:r>
    </w:p>
    <w:p>
      <w:pPr>
        <w:pStyle w:val="Normal"/>
        <w:rPr>
          <w:rFonts w:ascii="Arial Narrow" w:hAnsi="Arial Narrow" w:cs="Arial Narrow"/>
        </w:rPr>
      </w:pPr>
      <w:r>
        <w:rPr>
          <w:rFonts w:cs="Arial Narrow" w:ascii="Arial Narrow" w:hAnsi="Arial Narrow"/>
        </w:rPr>
      </w:r>
    </w:p>
    <w:p>
      <w:pPr>
        <w:pStyle w:val="Heading2"/>
        <w:ind w:hanging="0" w:start="0"/>
        <w:rPr>
          <w:rFonts w:ascii="Arial Black" w:hAnsi="Arial Black" w:cs="Arial Black"/>
          <w:b w:val="false"/>
          <w:bCs w:val="false"/>
          <w:sz w:val="28"/>
        </w:rPr>
      </w:pPr>
      <w:r>
        <w:rPr>
          <w:rFonts w:cs="Arial Black" w:ascii="Arial Black" w:hAnsi="Arial Black"/>
          <w:b w:val="false"/>
          <w:bCs w:val="false"/>
          <w:sz w:val="28"/>
        </w:rPr>
        <w:t>Operating Characteristics</w:t>
      </w:r>
    </w:p>
    <w:p>
      <w:pPr>
        <w:pStyle w:val="Normal"/>
        <w:rPr>
          <w:rFonts w:ascii="Arial" w:hAnsi="Arial" w:cs="Arial"/>
          <w:b/>
          <w:bCs/>
          <w:sz w:val="20"/>
          <w:lang w:val="en-CA" w:eastAsia="en-CA"/>
        </w:rPr>
      </w:pPr>
      <w:r>
        <w:rPr>
          <w:rFonts w:cs="Arial" w:ascii="Arial" w:hAnsi="Arial"/>
          <w:b/>
          <w:bCs/>
          <w:sz w:val="20"/>
          <w:lang w:val="en-CA" w:eastAsia="en-CA"/>
        </w:rPr>
        <mc:AlternateContent>
          <mc:Choice Requires="wps">
            <w:drawing>
              <wp:anchor behindDoc="0" distT="0" distB="0" distL="114935" distR="114935" simplePos="0" locked="0" layoutInCell="1" allowOverlap="1" relativeHeight="2">
                <wp:simplePos x="0" y="0"/>
                <wp:positionH relativeFrom="column">
                  <wp:posOffset>9525</wp:posOffset>
                </wp:positionH>
                <wp:positionV relativeFrom="paragraph">
                  <wp:posOffset>34290</wp:posOffset>
                </wp:positionV>
                <wp:extent cx="3076575" cy="0"/>
                <wp:effectExtent l="0" t="14605" r="0" b="14605"/>
                <wp:wrapNone/>
                <wp:docPr id="2" name=""/>
                <a:graphic xmlns:a="http://schemas.openxmlformats.org/drawingml/2006/main">
                  <a:graphicData uri="http://schemas.microsoft.com/office/word/2010/wordprocessingShape">
                    <wps:wsp>
                      <wps:cNvSpPr/>
                      <wps:spPr>
                        <a:xfrm>
                          <a:off x="0" y="0"/>
                          <a:ext cx="307656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0.75pt,2.7pt" to="242.95pt,2.7pt" stroked="t" o:allowincell="f" style="position:absolute">
                <v:stroke color="blue" weight="28440" joinstyle="miter" endcap="flat"/>
                <v:fill o:detectmouseclick="t" on="false"/>
                <w10:wrap type="none"/>
              </v:line>
            </w:pict>
          </mc:Fallback>
        </mc:AlternateContent>
      </w:r>
    </w:p>
    <w:p>
      <w:pPr>
        <w:pStyle w:val="Heading1"/>
        <w:ind w:hanging="0" w:start="0"/>
        <w:rPr>
          <w:color w:val="0000FF"/>
        </w:rPr>
      </w:pPr>
      <w:r>
        <w:rPr>
          <w:color w:val="0000FF"/>
        </w:rPr>
        <w:t>Capacity Data</w:t>
      </w:r>
    </w:p>
    <w:p>
      <w:pPr>
        <w:pStyle w:val="Normal"/>
        <w:ind w:start="720" w:end="0"/>
        <w:rPr>
          <w:rFonts w:ascii="Arial Narrow" w:hAnsi="Arial Narrow" w:cs="Arial"/>
        </w:rPr>
      </w:pPr>
      <w:r>
        <w:rPr>
          <w:rFonts w:cs="Arial" w:ascii="Arial Narrow" w:hAnsi="Arial Narrow"/>
        </w:rPr>
        <w:t>Working Gas Capacity</w:t>
        <w:tab/>
        <w:tab/>
        <w:tab/>
        <w:tab/>
        <w:t>193 Bcf</w:t>
      </w:r>
    </w:p>
    <w:p>
      <w:pPr>
        <w:pStyle w:val="Normal"/>
        <w:ind w:start="720" w:end="0"/>
        <w:rPr>
          <w:rFonts w:ascii="Arial Narrow" w:hAnsi="Arial Narrow" w:cs="Arial"/>
        </w:rPr>
      </w:pPr>
      <w:r>
        <w:rPr>
          <w:rFonts w:cs="Arial" w:ascii="Arial Narrow" w:hAnsi="Arial Narrow"/>
        </w:rPr>
        <w:t>Base Gas Capacity</w:t>
        <w:tab/>
        <w:tab/>
        <w:tab/>
        <w:tab/>
        <w:t>160 Bcf</w:t>
      </w:r>
    </w:p>
    <w:p>
      <w:pPr>
        <w:pStyle w:val="Normal"/>
        <w:ind w:start="720" w:end="0"/>
        <w:rPr>
          <w:rFonts w:ascii="Arial Narrow" w:hAnsi="Arial Narrow" w:cs="Arial"/>
        </w:rPr>
      </w:pPr>
      <w:r>
        <w:rPr>
          <w:rFonts w:cs="Arial" w:ascii="Arial Narrow" w:hAnsi="Arial Narrow"/>
        </w:rPr>
        <w:t xml:space="preserve">Total Capacity </w:t>
        <w:tab/>
        <w:tab/>
        <w:tab/>
        <w:tab/>
        <w:tab/>
        <w:t>353 Bcf</w:t>
      </w:r>
    </w:p>
    <w:p>
      <w:pPr>
        <w:pStyle w:val="Normal"/>
        <w:ind w:start="720" w:end="0"/>
        <w:rPr>
          <w:rFonts w:ascii="Arial Narrow" w:hAnsi="Arial Narrow" w:cs="Arial"/>
        </w:rPr>
      </w:pPr>
      <w:r>
        <w:rPr>
          <w:rFonts w:cs="Arial" w:ascii="Arial Narrow" w:hAnsi="Arial Narrow"/>
        </w:rPr>
      </w:r>
    </w:p>
    <w:p>
      <w:pPr>
        <w:pStyle w:val="Normal"/>
        <w:ind w:start="720" w:end="0"/>
        <w:rPr>
          <w:rFonts w:ascii="Arial Narrow" w:hAnsi="Arial Narrow" w:cs="Arial"/>
        </w:rPr>
      </w:pPr>
      <w:r>
        <w:rPr>
          <w:rFonts w:cs="Arial" w:ascii="Arial Narrow" w:hAnsi="Arial Narrow"/>
        </w:rPr>
        <w:t>Max Injection</w:t>
        <w:tab/>
        <w:tab/>
        <w:tab/>
        <w:tab/>
        <w:tab/>
        <w:t>200,000 Mcfd</w:t>
      </w:r>
    </w:p>
    <w:p>
      <w:pPr>
        <w:pStyle w:val="Normal"/>
        <w:ind w:start="720" w:end="0"/>
        <w:rPr>
          <w:rFonts w:ascii="Arial Narrow" w:hAnsi="Arial Narrow" w:cs="Arial"/>
        </w:rPr>
      </w:pPr>
      <w:r>
        <w:rPr>
          <w:rFonts w:cs="Arial" w:ascii="Arial Narrow" w:hAnsi="Arial Narrow"/>
        </w:rPr>
      </w:r>
    </w:p>
    <w:p>
      <w:pPr>
        <w:pStyle w:val="Normal"/>
        <w:ind w:start="720" w:end="0"/>
        <w:rPr>
          <w:rFonts w:ascii="Arial Narrow" w:hAnsi="Arial Narrow" w:cs="Arial"/>
        </w:rPr>
      </w:pPr>
      <w:r>
        <w:rPr>
          <w:rFonts w:cs="Arial" w:ascii="Arial Narrow" w:hAnsi="Arial Narrow"/>
        </w:rPr>
        <w:t>Max Firm Withdrawal</w:t>
        <w:tab/>
        <w:tab/>
        <w:tab/>
        <w:tab/>
        <w:t>255,000 Mcfd</w:t>
      </w:r>
    </w:p>
    <w:p>
      <w:pPr>
        <w:pStyle w:val="Normal"/>
        <w:ind w:start="720" w:end="0"/>
        <w:rPr>
          <w:rFonts w:ascii="Arial Narrow" w:hAnsi="Arial Narrow" w:cs="Arial"/>
        </w:rPr>
      </w:pPr>
      <w:r>
        <w:rPr>
          <w:rFonts w:cs="Arial" w:ascii="Arial Narrow" w:hAnsi="Arial Narrow"/>
        </w:rPr>
        <w:t>IT Withdrawal</w:t>
        <w:tab/>
        <w:tab/>
        <w:tab/>
        <w:tab/>
        <w:tab/>
        <w:t>0 - 50,000 Mcfd</w:t>
      </w:r>
    </w:p>
    <w:p>
      <w:pPr>
        <w:pStyle w:val="Normal"/>
        <w:rPr>
          <w:rFonts w:ascii="Arial Narrow" w:hAnsi="Arial Narrow" w:cs="Arial"/>
        </w:rPr>
      </w:pPr>
      <w:r>
        <w:rPr>
          <w:rFonts w:cs="Arial" w:ascii="Arial Narrow" w:hAnsi="Arial Narrow"/>
        </w:rPr>
      </w:r>
    </w:p>
    <w:p>
      <w:pPr>
        <w:pStyle w:val="Normal"/>
        <w:rPr>
          <w:rFonts w:ascii="Arial Narrow" w:hAnsi="Arial Narrow" w:cs="Arial"/>
        </w:rPr>
      </w:pPr>
      <w:r>
        <w:rPr>
          <w:rFonts w:cs="Arial" w:ascii="Arial Narrow" w:hAnsi="Arial Narrow"/>
        </w:rPr>
      </w:r>
    </w:p>
    <w:p>
      <w:pPr>
        <w:pStyle w:val="Heading1"/>
        <w:ind w:hanging="0" w:start="0"/>
        <w:rPr>
          <w:color w:val="0000FF"/>
        </w:rPr>
      </w:pPr>
      <w:r>
        <w:rPr>
          <w:color w:val="0000FF"/>
        </w:rPr>
        <w:t>2001 Actual Data</w:t>
      </w:r>
    </w:p>
    <w:p>
      <w:pPr>
        <w:pStyle w:val="Normal"/>
        <w:ind w:start="720" w:end="0"/>
        <w:rPr>
          <w:rFonts w:ascii="Arial Narrow" w:hAnsi="Arial Narrow" w:cs="Arial"/>
        </w:rPr>
      </w:pPr>
      <w:r>
        <w:rPr>
          <w:rFonts w:cs="Arial" w:ascii="Arial Narrow" w:hAnsi="Arial Narrow"/>
        </w:rPr>
        <w:t>June Average Injection</w:t>
        <w:tab/>
        <w:tab/>
        <w:tab/>
        <w:tab/>
        <w:t xml:space="preserve">126,000 Mcfd </w:t>
      </w:r>
    </w:p>
    <w:p>
      <w:pPr>
        <w:pStyle w:val="Normal"/>
        <w:ind w:start="720" w:end="0"/>
        <w:rPr>
          <w:rFonts w:ascii="Arial Narrow" w:hAnsi="Arial Narrow" w:cs="Arial"/>
        </w:rPr>
      </w:pPr>
      <w:r>
        <w:rPr>
          <w:rFonts w:cs="Arial" w:ascii="Arial Narrow" w:hAnsi="Arial Narrow"/>
        </w:rPr>
        <w:t>July Average Injection</w:t>
        <w:tab/>
        <w:tab/>
        <w:tab/>
        <w:tab/>
        <w:t>176,000 Mcfd</w:t>
      </w:r>
    </w:p>
    <w:p>
      <w:pPr>
        <w:pStyle w:val="Normal"/>
        <w:ind w:start="720" w:end="0"/>
        <w:rPr>
          <w:rFonts w:ascii="Arial Narrow" w:hAnsi="Arial Narrow" w:cs="Arial"/>
        </w:rPr>
      </w:pPr>
      <w:r>
        <w:rPr>
          <w:rFonts w:cs="Arial" w:ascii="Arial Narrow" w:hAnsi="Arial Narrow"/>
        </w:rPr>
        <w:t>August Average Injection</w:t>
        <w:tab/>
        <w:tab/>
        <w:tab/>
        <w:t>167,000 Mcfd</w:t>
      </w:r>
    </w:p>
    <w:p>
      <w:pPr>
        <w:pStyle w:val="Normal"/>
        <w:ind w:start="720" w:end="0"/>
        <w:rPr>
          <w:rFonts w:ascii="Arial Narrow" w:hAnsi="Arial Narrow" w:cs="Arial"/>
        </w:rPr>
      </w:pPr>
      <w:r>
        <w:rPr>
          <w:rFonts w:cs="Arial" w:ascii="Arial Narrow" w:hAnsi="Arial Narrow"/>
        </w:rPr>
      </w:r>
    </w:p>
    <w:p>
      <w:pPr>
        <w:pStyle w:val="Normal"/>
        <w:ind w:start="720" w:end="0"/>
        <w:rPr>
          <w:rFonts w:ascii="Arial Narrow" w:hAnsi="Arial Narrow" w:cs="Arial"/>
        </w:rPr>
      </w:pPr>
      <w:r>
        <w:rPr>
          <w:rFonts w:cs="Arial" w:ascii="Arial Narrow" w:hAnsi="Arial Narrow"/>
        </w:rPr>
        <w:t>Approx. Current Working Gas Inventory</w:t>
        <w:tab/>
        <w:tab/>
        <w:t>20 Bcf</w:t>
      </w:r>
    </w:p>
    <w:p>
      <w:pPr>
        <w:pStyle w:val="Normal"/>
        <w:ind w:start="720" w:end="0"/>
        <w:rPr>
          <w:rFonts w:ascii="Arial Narrow" w:hAnsi="Arial Narrow" w:cs="Arial"/>
        </w:rPr>
      </w:pPr>
      <w:r>
        <w:rPr>
          <w:rFonts w:cs="Arial" w:ascii="Arial Narrow" w:hAnsi="Arial Narrow"/>
        </w:rPr>
      </w:r>
    </w:p>
    <w:p>
      <w:pPr>
        <w:pStyle w:val="Heading1"/>
        <w:ind w:hanging="0" w:start="0"/>
        <w:rPr>
          <w:color w:val="0000FF"/>
        </w:rPr>
      </w:pPr>
      <w:r>
        <w:rPr>
          <w:color w:val="0000FF"/>
        </w:rPr>
        <w:t>Projected End-of-Season Inventory</w:t>
      </w:r>
    </w:p>
    <w:p>
      <w:pPr>
        <w:pStyle w:val="Normal"/>
        <w:ind w:start="720" w:end="0"/>
        <w:rPr>
          <w:rFonts w:ascii="Arial Narrow" w:hAnsi="Arial Narrow" w:cs="Arial"/>
        </w:rPr>
      </w:pPr>
      <w:r>
        <w:rPr>
          <w:rFonts w:cs="Arial" w:ascii="Arial Narrow" w:hAnsi="Arial Narrow"/>
        </w:rPr>
        <w:t>Firm Customers (primarily MDU)</w:t>
        <w:tab/>
        <w:tab/>
        <w:tab/>
        <w:t>12-14 Bcf</w:t>
      </w:r>
    </w:p>
    <w:p>
      <w:pPr>
        <w:pStyle w:val="Normal"/>
        <w:ind w:start="720" w:end="0"/>
        <w:rPr>
          <w:rFonts w:ascii="Arial Narrow" w:hAnsi="Arial Narrow" w:cs="Arial"/>
        </w:rPr>
      </w:pPr>
      <w:r>
        <w:rPr>
          <w:rFonts w:cs="Arial" w:ascii="Arial Narrow" w:hAnsi="Arial Narrow"/>
        </w:rPr>
        <w:t>ISS Customers</w:t>
        <w:tab/>
        <w:tab/>
        <w:tab/>
        <w:tab/>
        <w:tab/>
      </w:r>
      <w:r>
        <w:rPr>
          <w:rFonts w:cs="Arial" w:ascii="Arial Narrow" w:hAnsi="Arial Narrow"/>
          <w:u w:val="single"/>
        </w:rPr>
        <w:t>10-12 Bcf</w:t>
      </w:r>
    </w:p>
    <w:p>
      <w:pPr>
        <w:pStyle w:val="Normal"/>
        <w:ind w:start="720" w:end="0"/>
        <w:rPr>
          <w:rFonts w:ascii="Arial Narrow" w:hAnsi="Arial Narrow" w:cs="Arial"/>
        </w:rPr>
      </w:pPr>
      <w:r>
        <w:rPr>
          <w:rFonts w:cs="Arial" w:ascii="Arial Narrow" w:hAnsi="Arial Narrow"/>
        </w:rPr>
        <w:tab/>
        <w:tab/>
        <w:tab/>
        <w:tab/>
        <w:tab/>
        <w:tab/>
        <w:t>22-26 Bcf</w:t>
      </w:r>
    </w:p>
    <w:p>
      <w:pPr>
        <w:pStyle w:val="Normal"/>
        <w:rPr>
          <w:rFonts w:ascii="Arial Narrow" w:hAnsi="Arial Narrow" w:cs="Arial"/>
        </w:rPr>
      </w:pPr>
      <w:r>
        <w:rPr>
          <w:rFonts w:cs="Arial" w:ascii="Arial Narrow" w:hAnsi="Arial Narrow"/>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Narrow" w:hAnsi="Arial Narrow" w:cs="Arial"/>
      <w:b/>
      <w:bCs/>
      <w:u w:val="single"/>
    </w:rPr>
  </w:style>
  <w:style w:type="paragraph" w:styleId="Heading2">
    <w:name w:val="heading 2"/>
    <w:basedOn w:val="Normal"/>
    <w:next w:val="Normal"/>
    <w:qFormat/>
    <w:pPr>
      <w:keepNext w:val="true"/>
      <w:numPr>
        <w:ilvl w:val="1"/>
        <w:numId w:val="1"/>
      </w:numPr>
      <w:outlineLvl w:val="1"/>
    </w:pPr>
    <w:rPr>
      <w:rFonts w:ascii="Arial" w:hAnsi="Arial" w:cs="Arial"/>
      <w:b/>
      <w:bCs/>
      <w:color w:val="0000FF"/>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2001-08-29T17:23:00Z</dcterms:created>
  <dc:creator>Tyrell</dc:creator>
  <dc:description/>
  <dc:language>en-CA</dc:language>
  <cp:lastModifiedBy>mwhitt</cp:lastModifiedBy>
  <cp:lastPrinted>2001-08-29T14:13:00Z</cp:lastPrinted>
  <dcterms:modified xsi:type="dcterms:W3CDTF">2001-08-29T17:44:00Z</dcterms:modified>
  <cp:revision>4</cp:revision>
  <dc:subject/>
  <dc:title>WBI Storage Summary</dc:title>
</cp:coreProperties>
</file>