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43" w:type="dxa"/>
          <w:start w:w="115" w:type="dxa"/>
          <w:bottom w:w="43" w:type="dxa"/>
          <w:end w:w="115" w:type="dxa"/>
        </w:tblCellMar>
      </w:tblPr>
      <w:tblGrid>
        <w:gridCol w:w="2397"/>
        <w:gridCol w:w="6963"/>
      </w:tblGrid>
      <w:tr>
        <w:trPr/>
        <w:tc>
          <w:tcPr>
            <w:tcW w:w="9360" w:type="dxa"/>
            <w:gridSpan w:val="2"/>
            <w:tcBorders>
              <w:top w:val="single" w:sz="4" w:space="0" w:color="000000"/>
              <w:start w:val="single" w:sz="4" w:space="0" w:color="000000"/>
              <w:bottom w:val="single" w:sz="4" w:space="0" w:color="000000"/>
              <w:end w:val="single" w:sz="4" w:space="0" w:color="000000"/>
            </w:tcBorders>
          </w:tcPr>
          <w:p>
            <w:pPr>
              <w:pStyle w:val="Heading1"/>
              <w:keepNext w:val="false"/>
              <w:ind w:hanging="0" w:start="0"/>
              <w:rPr>
                <w:sz w:val="28"/>
              </w:rPr>
            </w:pPr>
            <w:r>
              <w:rPr>
                <w:sz w:val="28"/>
              </w:rPr>
              <w:t>Chronology of Events</w:t>
            </w:r>
          </w:p>
          <w:p>
            <w:pPr>
              <w:pStyle w:val="Normal"/>
              <w:jc w:val="center"/>
              <w:rPr>
                <w:sz w:val="28"/>
              </w:rPr>
            </w:pPr>
            <w:r>
              <w:rPr>
                <w:sz w:val="28"/>
              </w:rPr>
            </w:r>
          </w:p>
          <w:p>
            <w:pPr>
              <w:pStyle w:val="Normal"/>
              <w:jc w:val="center"/>
              <w:rPr>
                <w:b/>
                <w:bCs/>
              </w:rPr>
            </w:pPr>
            <w:r>
              <w:rPr>
                <w:b/>
                <w:bCs/>
              </w:rPr>
              <w:t>Transwestern Pipeline Company Roswell P1Compressor Station</w:t>
            </w:r>
          </w:p>
        </w:tc>
      </w:tr>
      <w:tr>
        <w:trPr/>
        <w:tc>
          <w:tcPr>
            <w:tcW w:w="2397" w:type="dxa"/>
            <w:tcBorders>
              <w:top w:val="single" w:sz="4" w:space="0" w:color="000000"/>
              <w:start w:val="single" w:sz="4" w:space="0" w:color="000000"/>
              <w:bottom w:val="single" w:sz="4" w:space="0" w:color="000000"/>
              <w:end w:val="single" w:sz="4" w:space="0" w:color="000000"/>
            </w:tcBorders>
          </w:tcPr>
          <w:p>
            <w:pPr>
              <w:pStyle w:val="Normal"/>
              <w:jc w:val="both"/>
              <w:rPr>
                <w:b/>
                <w:bCs/>
                <w:sz w:val="28"/>
              </w:rPr>
            </w:pPr>
            <w:r>
              <w:rPr>
                <w:b/>
                <w:bCs/>
                <w:sz w:val="28"/>
              </w:rPr>
              <w:t>Date</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b/>
                <w:bCs/>
                <w:sz w:val="28"/>
              </w:rPr>
            </w:pPr>
            <w:r>
              <w:rPr>
                <w:b/>
                <w:bCs/>
                <w:sz w:val="28"/>
              </w:rPr>
              <w:t>Description</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May, 1996</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Transwestern conducts routine maintenance on the P1 facility, and replaces internal mechanical and driver components including seals, stator blades, and nozzles.</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November 18, 1996</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Larry Campbell writes to the Air Quality Bureau advising of Transwestern’s replacement of certain mechanical and driver components “to ensure that the P1 facility’s turbine serial numbers are consistent with the records at the Air Quality Bureau’s office.”  </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August 29, 1997</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NMED issues Notice of Violation No. 264 to Transwestern alleging that Transwestern “modified [the P1] facility by installing a Solar Centaur T-4500 turbine in May 1996 before obtaining an Air Quality Permit revision.”  </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December 19, 1997</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Transwestern conducts emission tests on the P1 facility which demonstrate that the facility’s emissions do not exceed the original 1982 permit levels.</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January 21, 1998</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NMED sends Transwestern an offer to settle NOV No. 246 in exchange for payment of a $14,700 civil penalty.  </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March 19, 1998</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Transwestern representatives meet with NMED representatives in Santa Fe and review the P1 facility’s December 19, 1997 emission test results demonstrating that actual emissions are below 1982 permit levels.  </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April 1, 1998</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Cecilia Williams writes to Larry Campbell stating “the Department will also review testing that has been done on the turbine referenced in NOV No. 264, and upon research of pertinent information, the Department will provide in writing a determination on the compliance status of the P1 facility, at which time the violation will be rescinded or sent to the Office of General Counsel for resolution.”  </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June 12, 2001</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NMED issues to Transwestern a Compliance Order Requiring Compliance and Assessing a Civil Penalty, AQCA 01-20, essentially reasserting the allegations in NOV No. 246 that Transwestern’s May 1996 maintenance work constituted a modification.</w:t>
            </w:r>
          </w:p>
        </w:tc>
      </w:tr>
      <w:tr>
        <w:trPr/>
        <w:tc>
          <w:tcPr>
            <w:tcW w:w="2397" w:type="dxa"/>
            <w:tcBorders>
              <w:top w:val="single" w:sz="4" w:space="0" w:color="000000"/>
              <w:start w:val="single" w:sz="4" w:space="0" w:color="000000"/>
              <w:bottom w:val="single" w:sz="4" w:space="0" w:color="000000"/>
              <w:end w:val="single" w:sz="4" w:space="0" w:color="000000"/>
            </w:tcBorders>
          </w:tcPr>
          <w:p>
            <w:pPr>
              <w:pStyle w:val="Heading2"/>
              <w:keepNext w:val="false"/>
              <w:ind w:hanging="0" w:start="0"/>
              <w:jc w:val="both"/>
              <w:rPr/>
            </w:pPr>
            <w:r>
              <w:rPr/>
              <w:t>August 6, 2001</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both"/>
              <w:rPr/>
            </w:pPr>
            <w:r>
              <w:rPr/>
              <w:t>NMED issues its draft penalty calculation in AQCA 01-20 proposing a civil penalty of $162,000.</w:t>
            </w:r>
          </w:p>
        </w:tc>
      </w:tr>
    </w:tbl>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/mnt/main-storage/datasets/enron-docs/doc/W0186657.DOC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2001-08-28T19:43:00Z</dcterms:created>
  <dc:creator>Luella Rubio</dc:creator>
  <dc:description/>
  <dc:language>en-CA</dc:language>
  <cp:lastModifiedBy>Ramona Gallegos</cp:lastModifiedBy>
  <cp:lastPrinted>2001-08-28T16:13:00Z</cp:lastPrinted>
  <dcterms:modified xsi:type="dcterms:W3CDTF">2001-08-28T19:43:00Z</dcterms:modified>
  <cp:revision>2</cp:revision>
  <dc:subject/>
  <dc:title>K:\dox\client\72100\161\W0186657.DOC</dc:title>
</cp:coreProperties>
</file>