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2"/>
        </w:rPr>
      </w:pPr>
      <w:r>
        <w:rPr>
          <w:sz w:val="22"/>
        </w:rPr>
        <w:t>March 27, 2002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Mr. Paul E. Vrana</w:t>
      </w:r>
    </w:p>
    <w:p>
      <w:pPr>
        <w:pStyle w:val="Normal"/>
        <w:rPr>
          <w:sz w:val="22"/>
        </w:rPr>
      </w:pPr>
      <w:r>
        <w:rPr>
          <w:sz w:val="22"/>
        </w:rPr>
        <w:t>Jackson Walker L.L.P.</w:t>
      </w:r>
    </w:p>
    <w:p>
      <w:pPr>
        <w:pStyle w:val="Normal"/>
        <w:rPr>
          <w:sz w:val="22"/>
        </w:rPr>
      </w:pPr>
      <w:r>
        <w:rPr>
          <w:sz w:val="22"/>
        </w:rPr>
        <w:t>1100 Louisiana Street, Suite 4200</w:t>
      </w:r>
    </w:p>
    <w:p>
      <w:pPr>
        <w:pStyle w:val="Normal"/>
        <w:rPr>
          <w:sz w:val="22"/>
        </w:rPr>
      </w:pPr>
      <w:r>
        <w:rPr>
          <w:sz w:val="22"/>
        </w:rPr>
        <w:t>Houston, Texas  77002</w:t>
      </w:r>
    </w:p>
    <w:p>
      <w:pPr>
        <w:pStyle w:val="Normal"/>
        <w:rPr>
          <w:sz w:val="22"/>
        </w:rPr>
      </w:pPr>
      <w:r>
        <w:rPr>
          <w:sz w:val="22"/>
        </w:rPr>
      </w:r>
    </w:p>
    <w:p>
      <w:pPr>
        <w:pStyle w:val="BodyTextIndent"/>
        <w:rPr>
          <w:b w:val="false"/>
          <w:bCs w:val="false"/>
          <w:sz w:val="22"/>
        </w:rPr>
      </w:pPr>
      <w:r>
        <w:rPr>
          <w:b w:val="false"/>
          <w:bCs w:val="false"/>
          <w:sz w:val="22"/>
        </w:rPr>
        <w:t>Re:</w:t>
        <w:tab/>
        <w:t>ISDA Master Agreement dated December 6, 1994 between Enron North America Corp., as successor-in-interest to Enron Capital &amp; Trade Resources Corp. (“ENA”) and Dominion Oklahoma Texas Exploration &amp; Production, Inc., as successor-in-interest to Louis Dreyfus Natural Gas Corp. (“DOTEPI”) (hereinafter referred to as the “ISDA Agreement”), and Gas Purchase Contact dated January 15, 1993 between ENA, as successor-in-interest to Citrus Marketing, Inc. and DOTEPI, as successor-in-interest to Louis Dreyfus Ultra Gas Marketing Corp. (hereinafter referred to as the “Gas Agreement,” and together with the ISDA Agreement, the “Agreements”)</w:t>
      </w:r>
    </w:p>
    <w:p>
      <w:pPr>
        <w:pStyle w:val="Normal"/>
        <w:jc w:val="both"/>
        <w:rPr>
          <w:b/>
          <w:bCs/>
          <w:sz w:val="22"/>
        </w:rPr>
      </w:pPr>
      <w:r>
        <w:rPr>
          <w:b/>
          <w:bCs/>
          <w:sz w:val="22"/>
        </w:rPr>
      </w:r>
    </w:p>
    <w:p>
      <w:pPr>
        <w:pStyle w:val="Normal"/>
        <w:rPr>
          <w:sz w:val="22"/>
        </w:rPr>
      </w:pPr>
      <w:r>
        <w:rPr>
          <w:sz w:val="22"/>
        </w:rPr>
        <w:t>Dear Mr. Vrana:</w:t>
      </w:r>
    </w:p>
    <w:p>
      <w:pPr>
        <w:pStyle w:val="Normal"/>
        <w:rPr>
          <w:sz w:val="22"/>
        </w:rPr>
      </w:pPr>
      <w:r>
        <w:rPr>
          <w:sz w:val="22"/>
        </w:rPr>
      </w:r>
    </w:p>
    <w:p>
      <w:pPr>
        <w:pStyle w:val="Normal"/>
        <w:jc w:val="both"/>
        <w:rPr>
          <w:sz w:val="22"/>
        </w:rPr>
      </w:pPr>
      <w:r>
        <w:rPr>
          <w:sz w:val="22"/>
        </w:rPr>
        <w:t>ENA has received your letter of March 25, 2002, purporting to terminate the above-referenced contracts.  Of particular concern is the Gas Agreement, pursuant to which DOTEPI has been selling gas to ENA. Based on the information at hand, ENA believes that the termination is improper. In particular, such termination is prohibited by the automatic stay in effect as a result of ENA’s bankruptcy.</w:t>
      </w:r>
    </w:p>
    <w:p>
      <w:pPr>
        <w:pStyle w:val="Normal"/>
        <w:jc w:val="both"/>
        <w:rPr>
          <w:sz w:val="22"/>
        </w:rPr>
      </w:pPr>
      <w:r>
        <w:rPr>
          <w:sz w:val="22"/>
        </w:rPr>
      </w:r>
    </w:p>
    <w:p>
      <w:pPr>
        <w:pStyle w:val="BodyText"/>
        <w:rPr>
          <w:sz w:val="22"/>
        </w:rPr>
      </w:pPr>
      <w:r>
        <w:rPr>
          <w:sz w:val="22"/>
        </w:rPr>
        <w:t>Ever assuming that the termination is not improper as we believe it is, the agreement between the parties requires that DOTEPI flow any gas paid for prior to termination.  It is ENA’s intention to make payment on March 28, 2002, and will expect gas to flow in accordance with prior practice. Please confirm your agreement with that interpretation.</w:t>
      </w:r>
    </w:p>
    <w:p>
      <w:pPr>
        <w:pStyle w:val="BodyText"/>
        <w:rPr>
          <w:sz w:val="22"/>
        </w:rPr>
      </w:pPr>
      <w:r>
        <w:rPr>
          <w:sz w:val="22"/>
        </w:rPr>
      </w:r>
    </w:p>
    <w:p>
      <w:pPr>
        <w:pStyle w:val="BodyText"/>
        <w:rPr>
          <w:sz w:val="22"/>
        </w:rPr>
      </w:pPr>
      <w:r>
        <w:rPr>
          <w:sz w:val="22"/>
        </w:rPr>
        <w:t>Should DOTEPI not supply gas in accordance with the contract, ENA will be forced to secure supply from other sources, and will seek to recover any incremental costs, etc., from DOTEPI. ENA reserves all other rights and remedies it may have.</w:t>
      </w:r>
    </w:p>
    <w:p>
      <w:pPr>
        <w:pStyle w:val="BodyText"/>
        <w:rPr>
          <w:sz w:val="22"/>
        </w:rPr>
      </w:pPr>
      <w:r>
        <w:rPr>
          <w:sz w:val="22"/>
        </w:rPr>
      </w:r>
    </w:p>
    <w:p>
      <w:pPr>
        <w:pStyle w:val="BodyText"/>
        <w:rPr>
          <w:sz w:val="22"/>
        </w:rPr>
      </w:pPr>
      <w:r>
        <w:rPr>
          <w:sz w:val="22"/>
        </w:rPr>
        <w:t>I look forward to hearing from you at your earliest convenience.</w:t>
      </w:r>
    </w:p>
    <w:p>
      <w:pPr>
        <w:pStyle w:val="BodyText"/>
        <w:rPr>
          <w:sz w:val="22"/>
        </w:rPr>
      </w:pPr>
      <w:r>
        <w:rPr>
          <w:sz w:val="22"/>
        </w:rPr>
      </w:r>
    </w:p>
    <w:p>
      <w:pPr>
        <w:pStyle w:val="BodyText"/>
        <w:rPr>
          <w:sz w:val="22"/>
        </w:rPr>
      </w:pPr>
      <w:r>
        <w:rPr>
          <w:sz w:val="22"/>
        </w:rPr>
        <w:t>Regards,</w:t>
      </w:r>
    </w:p>
    <w:p>
      <w:pPr>
        <w:pStyle w:val="BodyText"/>
        <w:rPr>
          <w:sz w:val="22"/>
        </w:rPr>
      </w:pPr>
      <w:r>
        <w:rPr>
          <w:sz w:val="22"/>
        </w:rPr>
      </w:r>
    </w:p>
    <w:p>
      <w:pPr>
        <w:pStyle w:val="BodyText"/>
        <w:rPr>
          <w:sz w:val="22"/>
        </w:rPr>
      </w:pPr>
      <w:r>
        <w:rPr>
          <w:sz w:val="22"/>
        </w:rPr>
      </w:r>
    </w:p>
    <w:p>
      <w:pPr>
        <w:pStyle w:val="BodyText"/>
        <w:rPr>
          <w:sz w:val="22"/>
        </w:rPr>
      </w:pPr>
      <w:r>
        <w:rPr>
          <w:sz w:val="22"/>
        </w:rPr>
        <w:t>C. Kay Mann</w:t>
      </w:r>
    </w:p>
    <w:p>
      <w:pPr>
        <w:pStyle w:val="BodyText"/>
        <w:rPr>
          <w:sz w:val="22"/>
        </w:rPr>
      </w:pPr>
      <w:r>
        <w:rPr>
          <w:sz w:val="22"/>
        </w:rPr>
        <w:t>Assistant General Counsel</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/mnt/main-storage/datasets/enron-docs/doc/VranaltrreISDA-24a05e28425766516db166c3f3a0225877fa4129540098376195ed8af57ea679.doc</w:t>
    </w:r>
    <w:r>
      <w:rPr/>
      <w:fldChar w:fldCharType="end"/>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2002-03-27T16:50:00Z</dcterms:created>
  <dc:creator>sadams</dc:creator>
  <dc:description/>
  <dc:language>en-CA</dc:language>
  <cp:lastModifiedBy>kmann</cp:lastModifiedBy>
  <dcterms:modified xsi:type="dcterms:W3CDTF">2002-03-27T18:03:00Z</dcterms:modified>
  <cp:revision>4</cp:revision>
  <dc:subject/>
  <dc:title>March 27, 2002</dc:title>
</cp:coreProperties>
</file>