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i/>
          <w:i/>
          <w:iCs/>
          <w:lang w:val="en-US"/>
        </w:rPr>
      </w:pPr>
      <w:r>
        <w:rPr>
          <w:i/>
          <w:iCs/>
          <w:lang w:val="en-US"/>
        </w:rPr>
        <w:t>b) Virtual power plants</w:t>
      </w:r>
    </w:p>
    <w:p>
      <w:pPr>
        <w:pStyle w:val="Normal"/>
        <w:autoSpaceDE w:val="false"/>
        <w:rPr>
          <w:lang w:val="en-US"/>
        </w:rPr>
      </w:pPr>
      <w:r>
        <w:rPr>
          <w:lang w:val="en-US"/>
        </w:rPr>
        <w:t>EDF shall offer competitors access to electricity under the form of drawing rights on virtual power plants (VPP). A VPP contract is an option to buy electricity from EDF.</w:t>
      </w:r>
    </w:p>
    <w:p>
      <w:pPr>
        <w:pStyle w:val="Normal"/>
        <w:autoSpaceDE w:val="false"/>
        <w:rPr>
          <w:lang w:val="en-US"/>
        </w:rPr>
      </w:pPr>
      <w:r>
        <w:rPr>
          <w:lang w:val="en-US"/>
        </w:rPr>
        <w:t>The key features of a VPP are outlined below.</w:t>
      </w:r>
    </w:p>
    <w:p>
      <w:pPr>
        <w:pStyle w:val="Normal"/>
        <w:autoSpaceDE w:val="false"/>
        <w:rPr>
          <w:i/>
          <w:i/>
          <w:iCs/>
          <w:lang w:val="en-US"/>
        </w:rPr>
      </w:pPr>
      <w:r>
        <w:rPr>
          <w:i/>
          <w:iCs/>
          <w:lang w:val="en-US"/>
        </w:rPr>
      </w:r>
    </w:p>
    <w:p>
      <w:pPr>
        <w:pStyle w:val="Normal"/>
        <w:autoSpaceDE w:val="false"/>
        <w:rPr/>
      </w:pPr>
      <w:r>
        <w:rPr>
          <w:i/>
          <w:iCs/>
          <w:lang w:val="en-US"/>
        </w:rPr>
        <w:t xml:space="preserve">Capacity price: </w:t>
      </w:r>
      <w:r>
        <w:rPr>
          <w:lang w:val="en-US"/>
        </w:rPr>
        <w:t>An independent generator buys x MW of generation capacity from EDF for EUR y MW/year. Over the duration of the contract, the buyer has the right to call upon EDF at any time in order to request delivery of up to x MW. The required load curve has to be notified one day ahead at 12:00 hr. Independent generators will bid capacity prices.</w:t>
      </w:r>
    </w:p>
    <w:p>
      <w:pPr>
        <w:pStyle w:val="Normal"/>
        <w:autoSpaceDE w:val="false"/>
        <w:rPr>
          <w:i/>
          <w:i/>
          <w:iCs/>
          <w:lang w:val="en-US"/>
        </w:rPr>
      </w:pPr>
      <w:r>
        <w:rPr>
          <w:i/>
          <w:iCs/>
          <w:lang w:val="en-US"/>
        </w:rPr>
      </w:r>
    </w:p>
    <w:p>
      <w:pPr>
        <w:pStyle w:val="Normal"/>
        <w:autoSpaceDE w:val="false"/>
        <w:rPr/>
      </w:pPr>
      <w:r>
        <w:rPr>
          <w:i/>
          <w:iCs/>
          <w:lang w:val="en-US"/>
        </w:rPr>
        <w:t>Energy pric</w:t>
      </w:r>
      <w:r>
        <w:rPr>
          <w:lang w:val="en-US"/>
        </w:rPr>
        <w:t>e: The buyer pays EDF EUR z/MWh consumed (energy price). In the case of baseload virtual plants, the energy price reflects nuclear variable costs of a power plant operated by EDF in France. The energy price of peakload virtual power plants reflects the variable costs of a physical peakload unit operated by EDF in France.</w:t>
      </w:r>
    </w:p>
    <w:p>
      <w:pPr>
        <w:pStyle w:val="Normal"/>
        <w:autoSpaceDE w:val="false"/>
        <w:rPr>
          <w:lang w:val="en-US"/>
        </w:rPr>
      </w:pPr>
      <w:r>
        <w:rPr>
          <w:lang w:val="en-US"/>
        </w:rPr>
      </w:r>
    </w:p>
    <w:p>
      <w:pPr>
        <w:pStyle w:val="Normal"/>
        <w:autoSpaceDE w:val="false"/>
        <w:rPr>
          <w:lang w:val="en-US"/>
        </w:rPr>
      </w:pPr>
      <w:r>
        <w:rPr>
          <w:lang w:val="en-US"/>
        </w:rPr>
        <w:t>For the time being, on this basis, the energy price is [] Euro/MWh in the case of a</w:t>
      </w:r>
    </w:p>
    <w:p>
      <w:pPr>
        <w:pStyle w:val="Normal"/>
        <w:autoSpaceDE w:val="false"/>
        <w:rPr>
          <w:lang w:val="en-US"/>
        </w:rPr>
      </w:pPr>
      <w:r>
        <w:rPr>
          <w:lang w:val="en-US"/>
        </w:rPr>
        <w:t>baseload plant and [] Euro/MWh in the case of a peakload plant.</w:t>
      </w:r>
    </w:p>
    <w:p>
      <w:pPr>
        <w:pStyle w:val="Normal"/>
        <w:autoSpaceDE w:val="false"/>
        <w:rPr>
          <w:lang w:val="en-US"/>
        </w:rPr>
      </w:pPr>
      <w:r>
        <w:rPr>
          <w:lang w:val="en-US"/>
        </w:rPr>
        <w:t>Energy prices are fixed by EDF after having given the trustee the occasion to verify their</w:t>
      </w:r>
    </w:p>
    <w:p>
      <w:pPr>
        <w:pStyle w:val="Normal"/>
        <w:autoSpaceDE w:val="false"/>
        <w:rPr>
          <w:lang w:val="en-US"/>
        </w:rPr>
      </w:pPr>
      <w:r>
        <w:rPr>
          <w:lang w:val="en-US"/>
        </w:rPr>
        <w:t>level.</w:t>
      </w:r>
    </w:p>
    <w:p>
      <w:pPr>
        <w:pStyle w:val="Normal"/>
        <w:autoSpaceDE w:val="false"/>
        <w:rPr>
          <w:lang w:val="en-US"/>
        </w:rPr>
      </w:pPr>
      <w:r>
        <w:rPr>
          <w:lang w:val="en-US"/>
        </w:rPr>
      </w:r>
    </w:p>
    <w:p>
      <w:pPr>
        <w:pStyle w:val="Normal"/>
        <w:autoSpaceDE w:val="false"/>
        <w:rPr/>
      </w:pPr>
      <w:r>
        <w:rPr>
          <w:i/>
          <w:iCs/>
          <w:lang w:val="en-US"/>
        </w:rPr>
        <w:t>Delivery poin</w:t>
      </w:r>
      <w:r>
        <w:rPr>
          <w:lang w:val="en-US"/>
        </w:rPr>
        <w:t>t: The electricity is delivered to the high voltage grid in France.</w:t>
      </w:r>
    </w:p>
    <w:p>
      <w:pPr>
        <w:pStyle w:val="Normal"/>
        <w:autoSpaceDE w:val="false"/>
        <w:rPr>
          <w:i/>
          <w:i/>
          <w:iCs/>
          <w:lang w:val="en-US"/>
        </w:rPr>
      </w:pPr>
      <w:r>
        <w:rPr>
          <w:i/>
          <w:iCs/>
          <w:lang w:val="en-US"/>
        </w:rPr>
      </w:r>
    </w:p>
    <w:p>
      <w:pPr>
        <w:pStyle w:val="Normal"/>
        <w:autoSpaceDE w:val="false"/>
        <w:rPr/>
      </w:pPr>
      <w:r>
        <w:rPr>
          <w:i/>
          <w:iCs/>
          <w:lang w:val="en-US"/>
        </w:rPr>
        <w:t xml:space="preserve">Length of contract: </w:t>
      </w:r>
      <w:r>
        <w:rPr>
          <w:lang w:val="en-US"/>
        </w:rPr>
        <w:t>The VPP contracts will have the duration of three months, six months, one year, two years and three years in accordance with the development of the market.</w:t>
      </w:r>
    </w:p>
    <w:p>
      <w:pPr>
        <w:pStyle w:val="Normal"/>
        <w:autoSpaceDE w:val="false"/>
        <w:rPr>
          <w:i/>
          <w:i/>
          <w:iCs/>
          <w:lang w:val="en-US"/>
        </w:rPr>
      </w:pPr>
      <w:r>
        <w:rPr>
          <w:i/>
          <w:iCs/>
          <w:lang w:val="en-US"/>
        </w:rPr>
      </w:r>
    </w:p>
    <w:p>
      <w:pPr>
        <w:pStyle w:val="Normal"/>
        <w:autoSpaceDE w:val="false"/>
        <w:rPr/>
      </w:pPr>
      <w:r>
        <w:rPr>
          <w:i/>
          <w:iCs/>
          <w:lang w:val="en-US"/>
        </w:rPr>
        <w:t xml:space="preserve">Types of VPP: </w:t>
      </w:r>
      <w:r>
        <w:rPr>
          <w:lang w:val="en-US"/>
        </w:rPr>
        <w:t>EDF will offer 4 000 (four thousand) MW of baseload and 1 000 (one thousand) MW of peakload capacity. The proposed capacity ratio between baseload and</w:t>
      </w:r>
    </w:p>
    <w:p>
      <w:pPr>
        <w:pStyle w:val="Normal"/>
        <w:autoSpaceDE w:val="false"/>
        <w:rPr>
          <w:lang w:val="en-US"/>
        </w:rPr>
      </w:pPr>
      <w:r>
        <w:rPr>
          <w:lang w:val="en-US"/>
        </w:rPr>
        <w:t>peakload reflects the demand curve of the eligible market.</w:t>
      </w:r>
    </w:p>
    <w:p>
      <w:pPr>
        <w:pStyle w:val="Normal"/>
        <w:autoSpaceDE w:val="false"/>
        <w:rPr>
          <w:i/>
          <w:i/>
          <w:iCs/>
          <w:lang w:val="en-US"/>
        </w:rPr>
      </w:pPr>
      <w:r>
        <w:rPr>
          <w:i/>
          <w:iCs/>
          <w:lang w:val="en-US"/>
        </w:rPr>
      </w:r>
    </w:p>
    <w:p>
      <w:pPr>
        <w:pStyle w:val="Normal"/>
        <w:autoSpaceDE w:val="false"/>
        <w:rPr/>
      </w:pPr>
      <w:r>
        <w:rPr>
          <w:i/>
          <w:iCs/>
          <w:lang w:val="en-US"/>
        </w:rPr>
        <w:t xml:space="preserve">VPP Auction: </w:t>
      </w:r>
      <w:r>
        <w:rPr>
          <w:lang w:val="en-US"/>
        </w:rPr>
        <w:t>Both baseload and peakload plants will be offered simultaneously, but separately. VPP contracts will be awarded through an open, non-discriminatory public auction. The auction will be open to energy utilities and energy traders.</w:t>
      </w:r>
    </w:p>
    <w:p>
      <w:pPr>
        <w:pStyle w:val="Normal"/>
        <w:autoSpaceDE w:val="false"/>
        <w:rPr>
          <w:lang w:val="en-US"/>
        </w:rPr>
      </w:pPr>
      <w:r>
        <w:rPr>
          <w:lang w:val="en-US"/>
        </w:rPr>
      </w:r>
    </w:p>
    <w:p>
      <w:pPr>
        <w:pStyle w:val="Normal"/>
        <w:autoSpaceDE w:val="false"/>
        <w:rPr/>
      </w:pPr>
      <w:r>
        <w:rPr>
          <w:i/>
          <w:iCs/>
          <w:lang w:val="en-US"/>
        </w:rPr>
        <w:t>The bi</w:t>
      </w:r>
      <w:r>
        <w:rPr>
          <w:lang w:val="en-US"/>
        </w:rPr>
        <w:t>d: Entrants will bid for an integer number of MW of capacity. The smallest bid is 1 (one) MW. Successful bidders will be obliged to pay to EDF their bid price.</w:t>
      </w:r>
    </w:p>
    <w:p>
      <w:pPr>
        <w:pStyle w:val="Normal"/>
        <w:autoSpaceDE w:val="false"/>
        <w:rPr>
          <w:lang w:val="en-US"/>
        </w:rPr>
      </w:pPr>
      <w:r>
        <w:rPr>
          <w:lang w:val="en-US"/>
        </w:rPr>
      </w:r>
    </w:p>
    <w:p>
      <w:pPr>
        <w:pStyle w:val="Normal"/>
        <w:autoSpaceDE w:val="false"/>
        <w:rPr/>
      </w:pPr>
      <w:r>
        <w:rPr>
          <w:i/>
          <w:iCs/>
          <w:lang w:val="en-US"/>
        </w:rPr>
        <w:t xml:space="preserve">Bid volume cap: </w:t>
      </w:r>
      <w:r>
        <w:rPr>
          <w:lang w:val="en-US"/>
        </w:rPr>
        <w:t>The maximum volume of each bid is limited to a fraction of the total capacity auctioned to ensure that at least three bidders are selected.</w:t>
      </w:r>
    </w:p>
    <w:p>
      <w:pPr>
        <w:pStyle w:val="Normal"/>
        <w:autoSpaceDE w:val="false"/>
        <w:rPr>
          <w:i/>
          <w:i/>
          <w:iCs/>
          <w:lang w:val="en-US"/>
        </w:rPr>
      </w:pPr>
      <w:r>
        <w:rPr>
          <w:i/>
          <w:iCs/>
          <w:lang w:val="en-US"/>
        </w:rPr>
      </w:r>
    </w:p>
    <w:p>
      <w:pPr>
        <w:pStyle w:val="Normal"/>
        <w:autoSpaceDE w:val="false"/>
        <w:rPr/>
      </w:pPr>
      <w:r>
        <w:rPr>
          <w:i/>
          <w:iCs/>
          <w:lang w:val="en-US"/>
        </w:rPr>
        <w:t xml:space="preserve">Evaluation of bids: </w:t>
      </w:r>
      <w:r>
        <w:rPr>
          <w:lang w:val="en-US"/>
        </w:rPr>
        <w:t>Bids will be grouped according to plant type disregarding the length of the contract. Within each group, bids will be sorted in descending order according to their spread in relation to a reference value set by EDF in order to facilitate the bidding process. The reference value will reflect EDF’s estimates of the French wholesale power market. The reference value is not a reserved price and spreads may be negative.</w:t>
      </w:r>
    </w:p>
    <w:p>
      <w:pPr>
        <w:pStyle w:val="Normal"/>
        <w:autoSpaceDE w:val="false"/>
        <w:rPr>
          <w:lang w:val="en-US"/>
        </w:rPr>
      </w:pPr>
      <w:r>
        <w:rPr>
          <w:lang w:val="en-US"/>
        </w:rPr>
        <w:t>Reference values will be communicated to and examined by the trustee before the invitations to bid are announced.</w:t>
      </w:r>
    </w:p>
    <w:p>
      <w:pPr>
        <w:pStyle w:val="Normal"/>
        <w:autoSpaceDE w:val="false"/>
        <w:rPr>
          <w:lang w:val="en-US"/>
        </w:rPr>
      </w:pPr>
      <w:r>
        <w:rPr>
          <w:lang w:val="en-US"/>
        </w:rPr>
        <w:t>Capacity will be awarded to bidders according to their rank until the auctioned capacity volume is reached.</w:t>
      </w:r>
    </w:p>
    <w:p>
      <w:pPr>
        <w:pStyle w:val="Normal"/>
        <w:autoSpaceDE w:val="false"/>
        <w:rPr>
          <w:lang w:val="en-US"/>
        </w:rPr>
      </w:pPr>
      <w:r>
        <w:rPr>
          <w:lang w:val="en-US"/>
        </w:rPr>
        <w:t>Bidders who bid for a mix of baseload and peakload plants will have the option to withdraw their bids if they are not awarded the plant portfolio of their choice. When bids are withdrawn, the corresponding capacity will be awarded to non-selected bidders according to their rank.</w:t>
      </w:r>
    </w:p>
    <w:p>
      <w:pPr>
        <w:pStyle w:val="Normal"/>
        <w:autoSpaceDE w:val="false"/>
        <w:rPr>
          <w:i/>
          <w:i/>
          <w:iCs/>
          <w:lang w:val="en-US"/>
        </w:rPr>
      </w:pPr>
      <w:r>
        <w:rPr>
          <w:i/>
          <w:iCs/>
          <w:lang w:val="en-US"/>
        </w:rPr>
      </w:r>
    </w:p>
    <w:p>
      <w:pPr>
        <w:pStyle w:val="Normal"/>
        <w:autoSpaceDE w:val="false"/>
        <w:rPr/>
      </w:pPr>
      <w:r>
        <w:rPr>
          <w:i/>
          <w:iCs/>
          <w:lang w:val="en-US"/>
        </w:rPr>
        <w:t xml:space="preserve">Method of payment: </w:t>
      </w:r>
      <w:r>
        <w:rPr>
          <w:lang w:val="en-US"/>
        </w:rPr>
        <w:t>All bidders will be required to make a cash bid, which will provide the basis for their evaluation. Successful bidders will be allowed to propose energy swaps instead of cash payments.</w:t>
      </w:r>
    </w:p>
    <w:p>
      <w:pPr>
        <w:pStyle w:val="Normal"/>
        <w:autoSpaceDE w:val="false"/>
        <w:rPr>
          <w:i/>
          <w:i/>
          <w:iCs/>
          <w:lang w:val="en-US"/>
        </w:rPr>
      </w:pPr>
      <w:r>
        <w:rPr>
          <w:i/>
          <w:iCs/>
          <w:lang w:val="en-US"/>
        </w:rPr>
      </w:r>
    </w:p>
    <w:p>
      <w:pPr>
        <w:pStyle w:val="Normal"/>
        <w:autoSpaceDE w:val="false"/>
        <w:rPr/>
      </w:pPr>
      <w:r>
        <w:rPr>
          <w:i/>
          <w:iCs/>
          <w:lang w:val="en-US"/>
        </w:rPr>
        <w:t xml:space="preserve">Implementation: </w:t>
      </w:r>
      <w:r>
        <w:rPr>
          <w:lang w:val="en-US"/>
        </w:rPr>
        <w:t>EDF will promote auctions every 3 (three) months offering baseload and peakload plants. The first auction involving the sale of 1 000 (one thousand) MW will be conducted in 4 (four) rounds of 250 (two hundred fifty) MW. The principles of the first virtual power plant auction will be announced in May 2001. The first round will take place in the beginning of September 2001. The other rounds will follow at ten-day intervals.</w:t>
      </w:r>
    </w:p>
    <w:p>
      <w:pPr>
        <w:pStyle w:val="Normal"/>
        <w:autoSpaceDE w:val="false"/>
        <w:rPr>
          <w:lang w:val="en-US"/>
        </w:rPr>
      </w:pPr>
      <w:r>
        <w:rPr>
          <w:lang w:val="en-US"/>
        </w:rPr>
        <w:t>The remainder 4 000 (four thousand) MW will be offered at a pace compatible with demand and proper functioning of the market, under the supervision of the trustee.</w:t>
      </w:r>
    </w:p>
    <w:p>
      <w:pPr>
        <w:pStyle w:val="Normal"/>
        <w:autoSpaceDE w:val="false"/>
        <w:rPr>
          <w:i/>
          <w:i/>
          <w:iCs/>
          <w:lang w:val="en-US"/>
        </w:rPr>
      </w:pPr>
      <w:r>
        <w:rPr>
          <w:i/>
          <w:iCs/>
          <w:lang w:val="en-US"/>
        </w:rPr>
      </w:r>
    </w:p>
    <w:p>
      <w:pPr>
        <w:pStyle w:val="Normal"/>
        <w:autoSpaceDE w:val="false"/>
        <w:rPr/>
      </w:pPr>
      <w:r>
        <w:rPr>
          <w:i/>
          <w:iCs/>
          <w:lang w:val="en-US"/>
        </w:rPr>
        <w:t>Reserved pric</w:t>
      </w:r>
      <w:r>
        <w:rPr>
          <w:lang w:val="en-US"/>
        </w:rPr>
        <w:t>e: The imposition of a floor price for the bids may be necessary and therefore justified given that EDF lacks experience with auctions of VPPs and has to avoid sale below costs.</w:t>
      </w:r>
    </w:p>
    <w:p>
      <w:pPr>
        <w:pStyle w:val="Normal"/>
        <w:autoSpaceDE w:val="false"/>
        <w:rPr>
          <w:lang w:val="en-US"/>
        </w:rPr>
      </w:pPr>
      <w:r>
        <w:rPr>
          <w:lang w:val="en-US"/>
        </w:rPr>
        <w:t>If the trustee testifies that the prices of the auctions are abnormally low in relation to market prices or that the auctions result in bids significantly below EDF’s costs, the</w:t>
      </w:r>
    </w:p>
    <w:p>
      <w:pPr>
        <w:pStyle w:val="Normal"/>
        <w:autoSpaceDE w:val="false"/>
        <w:rPr>
          <w:lang w:val="en-US"/>
        </w:rPr>
      </w:pPr>
      <w:r>
        <w:rPr>
          <w:lang w:val="en-US"/>
        </w:rPr>
        <w:t>Commission, upon reasoned request by EDF or the trustee, will decide whether, and for what period, the fixing of a reserved price is appropriate. In agreement with the trustee, further auctions may be suspended until the Commission has taken a decision.</w:t>
      </w:r>
    </w:p>
    <w:p>
      <w:pPr>
        <w:pStyle w:val="Normal"/>
        <w:autoSpaceDE w:val="false"/>
        <w:rPr>
          <w:lang w:val="en-US"/>
        </w:rPr>
      </w:pPr>
      <w:r>
        <w:rPr>
          <w:lang w:val="en-US"/>
        </w:rPr>
        <w:t>A request aiming at the fixing of a floor price should not be made prior to the completion of the first round of 4 times 250 MW auction.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fr-FR"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2001-04-05T09:38:00Z</dcterms:created>
  <dc:creator>Bruno Gaillard</dc:creator>
  <dc:description/>
  <dc:language>en-CA</dc:language>
  <cp:lastModifiedBy>Bruno Gaillard</cp:lastModifiedBy>
  <dcterms:modified xsi:type="dcterms:W3CDTF">2001-04-05T09:58:00Z</dcterms:modified>
  <cp:revision>2</cp:revision>
  <dc:subject/>
  <dc:title>b) Virtual power plants</dc:title>
</cp:coreProperties>
</file>