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90" w:end="0"/>
        <w:rPr/>
      </w:pPr>
      <w:r>
        <w:rPr/>
        <w:t xml:space="preserve">  </w:t>
      </w:r>
      <w:r>
        <w:rPr/>
        <w:t>To: Distribution</w:t>
        <w:tab/>
        <w:tab/>
        <w:tab/>
        <w:tab/>
        <w:tab/>
        <w:tab/>
        <w:tab/>
        <w:tab/>
        <w:tab/>
        <w:t>11/13/00</w:t>
      </w:r>
    </w:p>
    <w:p>
      <w:pPr>
        <w:pStyle w:val="Normal"/>
        <w:ind w:start="-90" w:end="0"/>
        <w:rPr/>
      </w:pPr>
      <w:r>
        <w:rPr/>
        <w:t xml:space="preserve">  </w:t>
      </w:r>
      <w:r>
        <w:rPr/>
        <w:t>From:  David E. Rosenberg</w:t>
      </w:r>
    </w:p>
    <w:p>
      <w:pPr>
        <w:pStyle w:val="Normal"/>
        <w:ind w:start="-90" w:end="0"/>
        <w:rPr/>
      </w:pPr>
      <w:r>
        <w:rPr/>
      </w:r>
    </w:p>
    <w:p>
      <w:pPr>
        <w:pStyle w:val="Normal"/>
        <w:ind w:start="-90" w:end="0"/>
        <w:rPr/>
      </w:pPr>
      <w:r>
        <w:rPr/>
        <w:t xml:space="preserve">  </w:t>
      </w:r>
      <w:r>
        <w:rPr/>
        <w:t>Re:  Price-Heat Factor – Florida’s Answer to the Wind-Chill Factor</w:t>
      </w:r>
    </w:p>
    <w:p>
      <w:pPr>
        <w:pStyle w:val="Normal"/>
        <w:rPr/>
      </w:pPr>
      <w:r>
        <w:rPr/>
      </w:r>
    </w:p>
    <w:p>
      <w:pPr>
        <w:pStyle w:val="Normal"/>
        <w:rPr/>
      </w:pPr>
      <w:r>
        <w:rPr/>
        <w:t xml:space="preserve">In response to a 1997 FERC data request, Denis Tu and I put together a simple chart to demonstrate the impact of the resid/gas price differential on our throughput.  While this accomplished the intended purpose, we knew at the time that it was a bit simplistic in that the price differential was certainly not responsible for 100% of the volume decline in the fall and winter.  Additionally, we needed a way to present the impact of both temperature and price on one chart since early attempts to do on two charts proved confusing at best. </w:t>
      </w:r>
    </w:p>
    <w:p>
      <w:pPr>
        <w:pStyle w:val="Normal"/>
        <w:rPr/>
      </w:pPr>
      <w:r>
        <w:rPr/>
      </w:r>
    </w:p>
    <w:p>
      <w:pPr>
        <w:pStyle w:val="Normal"/>
        <w:rPr/>
      </w:pPr>
      <w:r>
        <w:rPr/>
        <w:t>The answer to the chart problem is to use the wind-chill factor approach. The temperature is modified to reflect the impact of the resid-gas price differential. In our case, four cents of differential up-or-down adds or subtracts roughly a degree, up to the point where all possible switching has occurred. The result is:</w:t>
      </w:r>
    </w:p>
    <w:p>
      <w:pPr>
        <w:pStyle w:val="Normal"/>
        <w:rPr/>
      </w:pPr>
      <w:r>
        <w:rPr/>
        <w:drawing>
          <wp:anchor behindDoc="0" distT="0" distB="0" distL="114935" distR="114935" simplePos="0" locked="0" layoutInCell="0" allowOverlap="1" relativeHeight="2">
            <wp:simplePos x="0" y="0"/>
            <wp:positionH relativeFrom="column">
              <wp:posOffset>525780</wp:posOffset>
            </wp:positionH>
            <wp:positionV relativeFrom="paragraph">
              <wp:posOffset>172085</wp:posOffset>
            </wp:positionV>
            <wp:extent cx="5482590" cy="297180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2590" cy="2971800"/>
                    </a:xfrm>
                    <a:prstGeom prst="rect">
                      <a:avLst/>
                    </a:prstGeom>
                    <a:noFill/>
                  </pic:spPr>
                </pic:pic>
              </a:graphicData>
            </a:graphic>
          </wp:anchor>
        </w:drawing>
      </w:r>
    </w:p>
    <w:p>
      <w:pPr>
        <w:pStyle w:val="Normal"/>
        <w:rPr/>
      </w:pPr>
      <w:r>
        <w:rPr/>
        <w:t xml:space="preserve">Considering that this ignores nuclear or coal outages, prices outside the state, extra cold winter periods and the like, it does a pretty good job of explaining the variations throughout the year. </w:t>
      </w:r>
    </w:p>
    <w:p>
      <w:pPr>
        <w:pStyle w:val="Normal"/>
        <w:rPr/>
      </w:pPr>
      <w:r>
        <w:rPr/>
      </w:r>
    </w:p>
    <w:p>
      <w:pPr>
        <w:pStyle w:val="Normal"/>
        <w:rPr/>
      </w:pPr>
      <w:r>
        <w:rPr/>
        <w:t xml:space="preserve">The upward deviation in the 99/00 winter is in part a result of the addition of Hines and Anclote to the mix.  The </w:t>
      </w:r>
    </w:p>
    <w:p>
      <w:pPr>
        <w:pStyle w:val="Normal"/>
        <w:rPr/>
      </w:pPr>
      <w:r>
        <w:rPr/>
        <w:t xml:space="preserve">results of this are somewhat skewed in that for Anclote there is an increased impact from a positive differential while a negative differential returns one to the pre-existing situation.  </w:t>
      </w:r>
    </w:p>
    <w:p>
      <w:pPr>
        <w:pStyle w:val="Normal"/>
        <w:rPr/>
      </w:pPr>
      <w:r>
        <w:rPr/>
      </w:r>
    </w:p>
    <w:p>
      <w:pPr>
        <w:pStyle w:val="Normal"/>
        <w:rPr/>
      </w:pPr>
      <w:r>
        <w:rPr/>
        <w:t>Perhaps of more interest, what can we expect basis under various temperature and price scenarios (on a monthly average basis, price delta = Platt’s 1% Sulfur minus Henry Hub)?</w:t>
      </w:r>
    </w:p>
    <w:p>
      <w:pPr>
        <w:pStyle w:val="Normal"/>
        <w:rPr/>
      </w:pPr>
      <w:r>
        <w:rPr/>
      </w:r>
    </w:p>
    <w:p>
      <w:pPr>
        <w:pStyle w:val="Normal"/>
        <w:rPr>
          <w:u w:val="single"/>
        </w:rPr>
      </w:pPr>
      <w:r>
        <w:rPr>
          <w:u w:val="single"/>
        </w:rPr>
        <w:tab/>
        <w:tab/>
        <w:tab/>
        <w:tab/>
        <w:tab/>
        <w:t>Volumes Under Various Price Conditions</w:t>
      </w:r>
    </w:p>
    <w:tbl>
      <w:tblPr>
        <w:tblW w:w="7102" w:type="dxa"/>
        <w:jc w:val="start"/>
        <w:tblInd w:w="0" w:type="dxa"/>
        <w:tblLayout w:type="fixed"/>
        <w:tblCellMar>
          <w:top w:w="0" w:type="dxa"/>
          <w:start w:w="30" w:type="dxa"/>
          <w:bottom w:w="0" w:type="dxa"/>
          <w:end w:w="30" w:type="dxa"/>
        </w:tblCellMar>
      </w:tblPr>
      <w:tblGrid>
        <w:gridCol w:w="1061"/>
        <w:gridCol w:w="1061"/>
        <w:gridCol w:w="1061"/>
        <w:gridCol w:w="1347"/>
        <w:gridCol w:w="1276"/>
        <w:gridCol w:w="1296"/>
      </w:tblGrid>
      <w:tr>
        <w:trPr>
          <w:trHeight w:val="235" w:hRule="atLeast"/>
        </w:trPr>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jc w:val="center"/>
              <w:rPr/>
            </w:pPr>
            <w:r>
              <w:rPr>
                <w:rFonts w:cs="Univers (WN)" w:ascii="Univers (WN)" w:hAnsi="Univers (WN)"/>
                <w:color w:val="000000"/>
                <w:u w:val="single"/>
                <w:lang w:eastAsia="en-US"/>
              </w:rPr>
              <w:t>Temp,</w:t>
            </w:r>
            <w:r>
              <w:rPr>
                <w:rFonts w:cs="Univers (WN)" w:ascii="Univers (WN)" w:hAnsi="Univers (WN)"/>
                <w:color w:val="000000"/>
                <w:u w:val="single"/>
                <w:vertAlign w:val="superscript"/>
                <w:lang w:eastAsia="en-US"/>
              </w:rPr>
              <w:t>o</w:t>
            </w:r>
            <w:r>
              <w:rPr>
                <w:rFonts w:cs="Univers (WN)" w:ascii="Univers (WN)" w:hAnsi="Univers (WN)"/>
                <w:color w:val="000000"/>
                <w:u w:val="single"/>
                <w:lang w:eastAsia="en-US"/>
              </w:rPr>
              <w:t xml:space="preserve">F </w:t>
            </w:r>
          </w:p>
        </w:tc>
        <w:tc>
          <w:tcPr>
            <w:tcW w:w="1347" w:type="dxa"/>
            <w:tcBorders/>
          </w:tcPr>
          <w:p>
            <w:pPr>
              <w:pStyle w:val="Normal"/>
              <w:jc w:val="center"/>
              <w:rPr>
                <w:rFonts w:ascii="Univers (WN)" w:hAnsi="Univers (WN)" w:cs="Univers (WN)"/>
                <w:color w:val="000000"/>
                <w:u w:val="single"/>
                <w:lang w:eastAsia="en-US"/>
              </w:rPr>
            </w:pPr>
            <w:r>
              <w:rPr>
                <w:rFonts w:cs="Univers (WN)" w:ascii="Univers (WN)" w:hAnsi="Univers (WN)"/>
                <w:color w:val="000000"/>
                <w:u w:val="single"/>
                <w:lang w:eastAsia="en-US"/>
              </w:rPr>
              <w:t>Worst</w:t>
            </w:r>
          </w:p>
        </w:tc>
        <w:tc>
          <w:tcPr>
            <w:tcW w:w="1276" w:type="dxa"/>
            <w:tcBorders/>
          </w:tcPr>
          <w:p>
            <w:pPr>
              <w:pStyle w:val="Normal"/>
              <w:jc w:val="center"/>
              <w:rPr>
                <w:rFonts w:ascii="Univers (WN)" w:hAnsi="Univers (WN)" w:cs="Univers (WN)"/>
                <w:color w:val="000000"/>
                <w:u w:val="single"/>
                <w:lang w:eastAsia="en-US"/>
              </w:rPr>
            </w:pPr>
            <w:r>
              <w:rPr>
                <w:rFonts w:cs="Univers (WN)" w:ascii="Univers (WN)" w:hAnsi="Univers (WN)"/>
                <w:color w:val="000000"/>
                <w:u w:val="single"/>
                <w:lang w:eastAsia="en-US"/>
              </w:rPr>
              <w:t>Del = $0.00</w:t>
            </w:r>
          </w:p>
        </w:tc>
        <w:tc>
          <w:tcPr>
            <w:tcW w:w="1296" w:type="dxa"/>
            <w:tcBorders/>
          </w:tcPr>
          <w:p>
            <w:pPr>
              <w:pStyle w:val="Normal"/>
              <w:ind w:end="-110"/>
              <w:jc w:val="center"/>
              <w:rPr>
                <w:rFonts w:ascii="Univers (WN)" w:hAnsi="Univers (WN)" w:cs="Univers (WN)"/>
                <w:color w:val="000000"/>
                <w:u w:val="single"/>
                <w:lang w:eastAsia="en-US"/>
              </w:rPr>
            </w:pPr>
            <w:r>
              <w:rPr>
                <w:rFonts w:cs="Univers (WN)" w:ascii="Univers (WN)" w:hAnsi="Univers (WN)"/>
                <w:color w:val="000000"/>
                <w:u w:val="single"/>
                <w:lang w:eastAsia="en-US"/>
              </w:rPr>
              <w:t>Best</w:t>
            </w:r>
          </w:p>
        </w:tc>
      </w:tr>
      <w:tr>
        <w:trPr>
          <w:trHeight w:val="235" w:hRule="atLeast"/>
        </w:trPr>
        <w:tc>
          <w:tcPr>
            <w:tcW w:w="1061" w:type="dxa"/>
            <w:tcBorders/>
          </w:tcPr>
          <w:p>
            <w:pPr>
              <w:pStyle w:val="Normal"/>
              <w:snapToGrid w:val="false"/>
              <w:jc w:val="center"/>
              <w:rPr>
                <w:rFonts w:ascii="Univers (WN)" w:hAnsi="Univers (WN)" w:cs="Univers (WN)"/>
                <w:color w:val="000000"/>
                <w:u w:val="single"/>
                <w:lang w:eastAsia="en-US"/>
              </w:rPr>
            </w:pPr>
            <w:r>
              <w:rPr>
                <w:rFonts w:cs="Univers (WN)" w:ascii="Univers (WN)" w:hAnsi="Univers (WN)"/>
                <w:color w:val="000000"/>
                <w:u w:val="single"/>
                <w:lang w:eastAsia="en-US"/>
              </w:rPr>
            </w:r>
          </w:p>
        </w:tc>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90</w:t>
            </w:r>
          </w:p>
        </w:tc>
        <w:tc>
          <w:tcPr>
            <w:tcW w:w="1347"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1,363</w:t>
            </w:r>
          </w:p>
        </w:tc>
        <w:tc>
          <w:tcPr>
            <w:tcW w:w="1276"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1,463</w:t>
            </w:r>
          </w:p>
        </w:tc>
        <w:tc>
          <w:tcPr>
            <w:tcW w:w="1296" w:type="dxa"/>
            <w:tcBorders/>
          </w:tcPr>
          <w:p>
            <w:pPr>
              <w:pStyle w:val="Normal"/>
              <w:ind w:end="-110"/>
              <w:jc w:val="center"/>
              <w:rPr>
                <w:rFonts w:ascii="Univers (WN)" w:hAnsi="Univers (WN)" w:cs="Univers (WN)"/>
                <w:color w:val="000000"/>
                <w:lang w:eastAsia="en-US"/>
              </w:rPr>
            </w:pPr>
            <w:r>
              <w:rPr>
                <w:rFonts w:cs="Univers (WN)" w:ascii="Univers (WN)" w:hAnsi="Univers (WN)"/>
                <w:color w:val="000000"/>
                <w:lang w:eastAsia="en-US"/>
              </w:rPr>
              <w:t>1,563</w:t>
            </w:r>
          </w:p>
        </w:tc>
      </w:tr>
      <w:tr>
        <w:trPr>
          <w:trHeight w:val="235" w:hRule="atLeast"/>
        </w:trPr>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85</w:t>
            </w:r>
          </w:p>
        </w:tc>
        <w:tc>
          <w:tcPr>
            <w:tcW w:w="1347"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1,307</w:t>
            </w:r>
          </w:p>
        </w:tc>
        <w:tc>
          <w:tcPr>
            <w:tcW w:w="1276"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1,407</w:t>
            </w:r>
          </w:p>
        </w:tc>
        <w:tc>
          <w:tcPr>
            <w:tcW w:w="1296" w:type="dxa"/>
            <w:tcBorders/>
          </w:tcPr>
          <w:p>
            <w:pPr>
              <w:pStyle w:val="Normal"/>
              <w:ind w:end="-110"/>
              <w:jc w:val="center"/>
              <w:rPr>
                <w:rFonts w:ascii="Univers (WN)" w:hAnsi="Univers (WN)" w:cs="Univers (WN)"/>
                <w:color w:val="000000"/>
                <w:lang w:eastAsia="en-US"/>
              </w:rPr>
            </w:pPr>
            <w:r>
              <w:rPr>
                <w:rFonts w:cs="Univers (WN)" w:ascii="Univers (WN)" w:hAnsi="Univers (WN)"/>
                <w:color w:val="000000"/>
                <w:lang w:eastAsia="en-US"/>
              </w:rPr>
              <w:t>1,507</w:t>
            </w:r>
          </w:p>
        </w:tc>
      </w:tr>
      <w:tr>
        <w:trPr>
          <w:trHeight w:val="235" w:hRule="atLeast"/>
        </w:trPr>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80</w:t>
            </w:r>
          </w:p>
        </w:tc>
        <w:tc>
          <w:tcPr>
            <w:tcW w:w="1347"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1,250</w:t>
            </w:r>
          </w:p>
        </w:tc>
        <w:tc>
          <w:tcPr>
            <w:tcW w:w="1276"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1,350</w:t>
            </w:r>
          </w:p>
        </w:tc>
        <w:tc>
          <w:tcPr>
            <w:tcW w:w="1296" w:type="dxa"/>
            <w:tcBorders/>
          </w:tcPr>
          <w:p>
            <w:pPr>
              <w:pStyle w:val="Normal"/>
              <w:ind w:end="-110"/>
              <w:jc w:val="center"/>
              <w:rPr>
                <w:rFonts w:ascii="Univers (WN)" w:hAnsi="Univers (WN)" w:cs="Univers (WN)"/>
                <w:color w:val="000000"/>
                <w:lang w:eastAsia="en-US"/>
              </w:rPr>
            </w:pPr>
            <w:r>
              <w:rPr>
                <w:rFonts w:cs="Univers (WN)" w:ascii="Univers (WN)" w:hAnsi="Univers (WN)"/>
                <w:color w:val="000000"/>
                <w:lang w:eastAsia="en-US"/>
              </w:rPr>
              <w:t>1,450</w:t>
            </w:r>
          </w:p>
        </w:tc>
      </w:tr>
      <w:tr>
        <w:trPr>
          <w:trHeight w:val="235" w:hRule="atLeast"/>
        </w:trPr>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75</w:t>
            </w:r>
          </w:p>
        </w:tc>
        <w:tc>
          <w:tcPr>
            <w:tcW w:w="1347"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1,194</w:t>
            </w:r>
          </w:p>
        </w:tc>
        <w:tc>
          <w:tcPr>
            <w:tcW w:w="1276"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1,294</w:t>
            </w:r>
          </w:p>
        </w:tc>
        <w:tc>
          <w:tcPr>
            <w:tcW w:w="1296" w:type="dxa"/>
            <w:tcBorders/>
          </w:tcPr>
          <w:p>
            <w:pPr>
              <w:pStyle w:val="Normal"/>
              <w:ind w:end="-110"/>
              <w:jc w:val="center"/>
              <w:rPr>
                <w:rFonts w:ascii="Univers (WN)" w:hAnsi="Univers (WN)" w:cs="Univers (WN)"/>
                <w:color w:val="000000"/>
                <w:lang w:eastAsia="en-US"/>
              </w:rPr>
            </w:pPr>
            <w:r>
              <w:rPr>
                <w:rFonts w:cs="Univers (WN)" w:ascii="Univers (WN)" w:hAnsi="Univers (WN)"/>
                <w:color w:val="000000"/>
                <w:lang w:eastAsia="en-US"/>
              </w:rPr>
              <w:t>1,394</w:t>
            </w:r>
          </w:p>
        </w:tc>
      </w:tr>
      <w:tr>
        <w:trPr>
          <w:trHeight w:val="235" w:hRule="atLeast"/>
        </w:trPr>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70</w:t>
            </w:r>
          </w:p>
        </w:tc>
        <w:tc>
          <w:tcPr>
            <w:tcW w:w="1347"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1,137</w:t>
            </w:r>
          </w:p>
        </w:tc>
        <w:tc>
          <w:tcPr>
            <w:tcW w:w="1276"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1,237</w:t>
            </w:r>
          </w:p>
        </w:tc>
        <w:tc>
          <w:tcPr>
            <w:tcW w:w="1296" w:type="dxa"/>
            <w:tcBorders/>
          </w:tcPr>
          <w:p>
            <w:pPr>
              <w:pStyle w:val="Normal"/>
              <w:ind w:end="-110"/>
              <w:jc w:val="center"/>
              <w:rPr>
                <w:rFonts w:ascii="Univers (WN)" w:hAnsi="Univers (WN)" w:cs="Univers (WN)"/>
                <w:color w:val="000000"/>
                <w:lang w:eastAsia="en-US"/>
              </w:rPr>
            </w:pPr>
            <w:r>
              <w:rPr>
                <w:rFonts w:cs="Univers (WN)" w:ascii="Univers (WN)" w:hAnsi="Univers (WN)"/>
                <w:color w:val="000000"/>
                <w:lang w:eastAsia="en-US"/>
              </w:rPr>
              <w:t>1,337</w:t>
            </w:r>
          </w:p>
        </w:tc>
      </w:tr>
      <w:tr>
        <w:trPr>
          <w:trHeight w:val="235" w:hRule="atLeast"/>
        </w:trPr>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65</w:t>
            </w:r>
          </w:p>
        </w:tc>
        <w:tc>
          <w:tcPr>
            <w:tcW w:w="1347"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1,081</w:t>
            </w:r>
          </w:p>
        </w:tc>
        <w:tc>
          <w:tcPr>
            <w:tcW w:w="1276"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1,181</w:t>
            </w:r>
          </w:p>
        </w:tc>
        <w:tc>
          <w:tcPr>
            <w:tcW w:w="1296" w:type="dxa"/>
            <w:tcBorders/>
          </w:tcPr>
          <w:p>
            <w:pPr>
              <w:pStyle w:val="Normal"/>
              <w:ind w:end="-110"/>
              <w:jc w:val="center"/>
              <w:rPr>
                <w:rFonts w:ascii="Univers (WN)" w:hAnsi="Univers (WN)" w:cs="Univers (WN)"/>
                <w:color w:val="000000"/>
                <w:lang w:eastAsia="en-US"/>
              </w:rPr>
            </w:pPr>
            <w:r>
              <w:rPr>
                <w:rFonts w:cs="Univers (WN)" w:ascii="Univers (WN)" w:hAnsi="Univers (WN)"/>
                <w:color w:val="000000"/>
                <w:lang w:eastAsia="en-US"/>
              </w:rPr>
              <w:t>1,281</w:t>
            </w:r>
          </w:p>
        </w:tc>
      </w:tr>
      <w:tr>
        <w:trPr>
          <w:trHeight w:val="235" w:hRule="atLeast"/>
        </w:trPr>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60</w:t>
            </w:r>
          </w:p>
        </w:tc>
        <w:tc>
          <w:tcPr>
            <w:tcW w:w="1347"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1,024</w:t>
            </w:r>
          </w:p>
        </w:tc>
        <w:tc>
          <w:tcPr>
            <w:tcW w:w="1276"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1,124</w:t>
            </w:r>
          </w:p>
        </w:tc>
        <w:tc>
          <w:tcPr>
            <w:tcW w:w="1296" w:type="dxa"/>
            <w:tcBorders/>
          </w:tcPr>
          <w:p>
            <w:pPr>
              <w:pStyle w:val="Normal"/>
              <w:ind w:end="-110"/>
              <w:jc w:val="center"/>
              <w:rPr>
                <w:rFonts w:ascii="Univers (WN)" w:hAnsi="Univers (WN)" w:cs="Univers (WN)"/>
                <w:color w:val="000000"/>
                <w:lang w:eastAsia="en-US"/>
              </w:rPr>
            </w:pPr>
            <w:r>
              <w:rPr>
                <w:rFonts w:cs="Univers (WN)" w:ascii="Univers (WN)" w:hAnsi="Univers (WN)"/>
                <w:color w:val="000000"/>
                <w:lang w:eastAsia="en-US"/>
              </w:rPr>
              <w:t>1,224</w:t>
            </w:r>
          </w:p>
        </w:tc>
      </w:tr>
      <w:tr>
        <w:trPr>
          <w:trHeight w:val="235" w:hRule="atLeast"/>
        </w:trPr>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snapToGrid w:val="false"/>
              <w:jc w:val="center"/>
              <w:rPr>
                <w:rFonts w:ascii="Univers (WN)" w:hAnsi="Univers (WN)" w:cs="Univers (WN)"/>
                <w:color w:val="000000"/>
                <w:lang w:eastAsia="en-US"/>
              </w:rPr>
            </w:pPr>
            <w:r>
              <w:rPr>
                <w:rFonts w:cs="Univers (WN)" w:ascii="Univers (WN)" w:hAnsi="Univers (WN)"/>
                <w:color w:val="000000"/>
                <w:lang w:eastAsia="en-US"/>
              </w:rPr>
            </w:r>
          </w:p>
        </w:tc>
        <w:tc>
          <w:tcPr>
            <w:tcW w:w="1061"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55</w:t>
            </w:r>
          </w:p>
        </w:tc>
        <w:tc>
          <w:tcPr>
            <w:tcW w:w="1347" w:type="dxa"/>
            <w:tcBorders/>
          </w:tcPr>
          <w:p>
            <w:pPr>
              <w:pStyle w:val="Normal"/>
              <w:jc w:val="center"/>
              <w:rPr/>
            </w:pPr>
            <w:r>
              <w:rPr>
                <w:rFonts w:eastAsia="Univers (WN)" w:cs="Univers (WN)" w:ascii="Univers (WN)" w:hAnsi="Univers (WN)"/>
                <w:color w:val="000000"/>
                <w:lang w:eastAsia="en-US"/>
              </w:rPr>
              <w:t xml:space="preserve">   </w:t>
            </w:r>
            <w:r>
              <w:rPr>
                <w:rFonts w:cs="Univers (WN)" w:ascii="Univers (WN)" w:hAnsi="Univers (WN)"/>
                <w:color w:val="000000"/>
                <w:lang w:eastAsia="en-US"/>
              </w:rPr>
              <w:t>967</w:t>
            </w:r>
          </w:p>
        </w:tc>
        <w:tc>
          <w:tcPr>
            <w:tcW w:w="1276" w:type="dxa"/>
            <w:tcBorders/>
          </w:tcPr>
          <w:p>
            <w:pPr>
              <w:pStyle w:val="Normal"/>
              <w:jc w:val="center"/>
              <w:rPr>
                <w:rFonts w:ascii="Univers (WN)" w:hAnsi="Univers (WN)" w:cs="Univers (WN)"/>
                <w:color w:val="000000"/>
                <w:lang w:eastAsia="en-US"/>
              </w:rPr>
            </w:pPr>
            <w:r>
              <w:rPr>
                <w:rFonts w:cs="Univers (WN)" w:ascii="Univers (WN)" w:hAnsi="Univers (WN)"/>
                <w:color w:val="000000"/>
                <w:lang w:eastAsia="en-US"/>
              </w:rPr>
              <w:t>1,067</w:t>
            </w:r>
          </w:p>
        </w:tc>
        <w:tc>
          <w:tcPr>
            <w:tcW w:w="1296" w:type="dxa"/>
            <w:tcBorders/>
          </w:tcPr>
          <w:p>
            <w:pPr>
              <w:pStyle w:val="Normal"/>
              <w:ind w:end="-110"/>
              <w:jc w:val="center"/>
              <w:rPr>
                <w:rFonts w:ascii="Univers (WN)" w:hAnsi="Univers (WN)" w:cs="Univers (WN)"/>
                <w:color w:val="000000"/>
                <w:lang w:eastAsia="en-US"/>
              </w:rPr>
            </w:pPr>
            <w:r>
              <w:rPr>
                <w:rFonts w:cs="Univers (WN)" w:ascii="Univers (WN)" w:hAnsi="Univers (WN)"/>
                <w:color w:val="000000"/>
                <w:lang w:eastAsia="en-US"/>
              </w:rPr>
              <w:t>1,167</w:t>
            </w:r>
          </w:p>
        </w:tc>
      </w:tr>
    </w:tbl>
    <w:p>
      <w:pPr>
        <w:pStyle w:val="Normal"/>
        <w:ind w:start="1890" w:end="0"/>
        <w:rPr/>
      </w:pPr>
      <w:r>
        <w:rPr/>
      </w:r>
    </w:p>
    <w:p>
      <w:pPr>
        <w:pStyle w:val="Normal"/>
        <w:rPr/>
      </w:pPr>
      <w:r>
        <w:rPr/>
        <w:t>These estimates resulted from statistical analysis prepared during a couple of unsuccessful attempts to hedge the price impact. The statistical analyses indicate that the maximum switching is reached at a differential of 30 to 40 cents.</w:t>
      </w:r>
    </w:p>
    <w:p>
      <w:pPr>
        <w:pStyle w:val="Normal"/>
        <w:rPr/>
      </w:pPr>
      <w:r>
        <w:rPr/>
      </w:r>
    </w:p>
    <w:p>
      <w:pPr>
        <w:pStyle w:val="Normal"/>
        <w:rPr/>
      </w:pPr>
      <w:r>
        <w:rPr/>
      </w:r>
    </w:p>
    <w:p>
      <w:pPr>
        <w:pStyle w:val="Normal"/>
        <w:rPr/>
      </w:pPr>
      <w:r>
        <w:rPr/>
      </w:r>
    </w:p>
    <w:p>
      <w:pPr>
        <w:pStyle w:val="Heading1"/>
        <w:ind w:hanging="0" w:start="0"/>
        <w:rPr/>
      </w:pPr>
      <w:r>
        <w:rPr>
          <w:u w:val="single"/>
        </w:rPr>
        <w:t>For Perspective:  The Original Aproach</w:t>
      </w:r>
      <w:r>
        <w:rPr/>
        <w:t xml:space="preserve"> Extended thru Today</w:t>
      </w:r>
    </w:p>
    <w:p>
      <w:pPr>
        <w:pStyle w:val="Normal"/>
        <w:rPr/>
      </w:pPr>
      <w:r>
        <w:rPr/>
      </w:r>
    </w:p>
    <w:p>
      <w:pPr>
        <w:pStyle w:val="Normal"/>
        <w:rPr/>
      </w:pPr>
      <w:r>
        <w:drawing>
          <wp:anchor behindDoc="0" distT="0" distB="0" distL="114935" distR="114935" simplePos="0" locked="0" layoutInCell="0" allowOverlap="1" relativeHeight="5">
            <wp:simplePos x="0" y="0"/>
            <wp:positionH relativeFrom="column">
              <wp:posOffset>800100</wp:posOffset>
            </wp:positionH>
            <wp:positionV relativeFrom="paragraph">
              <wp:posOffset>199390</wp:posOffset>
            </wp:positionV>
            <wp:extent cx="4352290" cy="299402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4352290" cy="2994025"/>
                    </a:xfrm>
                    <a:prstGeom prst="rect">
                      <a:avLst/>
                    </a:prstGeom>
                    <a:noFill/>
                  </pic:spPr>
                </pic:pic>
              </a:graphicData>
            </a:graphic>
          </wp:anchor>
        </w:drawing>
      </w:r>
      <w:r>
        <w:rPr/>
        <w:t>For perspective, here is the original plot sent to FERC:</w:t>
      </w:r>
    </w:p>
    <w:p>
      <w:pPr>
        <w:pStyle w:val="Normal"/>
        <w:rPr/>
      </w:pPr>
      <w:r>
        <w:rPr/>
        <w:t xml:space="preserve">Originally, we continued to look at price differential and also looked at temperature separately.  As time went on this process became less and less informative.  Some years or seasons, the price differential explains the  variations best and in some the temperature provides the best explanation.  And in some seasons neither.  This past </w:t>
      </w:r>
    </w:p>
    <w:p>
      <w:pPr>
        <w:pStyle w:val="Normal"/>
        <w:rPr/>
      </w:pPr>
      <w:r>
        <w:drawing>
          <wp:anchor behindDoc="0" distT="0" distB="0" distL="114935" distR="114935" simplePos="0" locked="0" layoutInCell="0" allowOverlap="1" relativeHeight="3">
            <wp:simplePos x="0" y="0"/>
            <wp:positionH relativeFrom="column">
              <wp:posOffset>434340</wp:posOffset>
            </wp:positionH>
            <wp:positionV relativeFrom="paragraph">
              <wp:posOffset>225425</wp:posOffset>
            </wp:positionV>
            <wp:extent cx="4489450" cy="2680335"/>
            <wp:effectExtent l="0" t="0" r="0" b="0"/>
            <wp:wrapTopAndBottom/>
            <wp:docPr id="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title=""/>
                    <pic:cNvPicPr>
                      <a:picLocks noChangeAspect="1" noChangeArrowheads="1"/>
                    </pic:cNvPicPr>
                  </pic:nvPicPr>
                  <pic:blipFill>
                    <a:blip r:embed="rId4"/>
                    <a:srcRect l="-4" t="-6" r="-4" b="-6"/>
                    <a:stretch>
                      <a:fillRect/>
                    </a:stretch>
                  </pic:blipFill>
                  <pic:spPr bwMode="auto">
                    <a:xfrm>
                      <a:off x="0" y="0"/>
                      <a:ext cx="4489450" cy="2680335"/>
                    </a:xfrm>
                    <a:prstGeom prst="rect">
                      <a:avLst/>
                    </a:prstGeom>
                    <a:noFill/>
                  </pic:spPr>
                </pic:pic>
              </a:graphicData>
            </a:graphic>
          </wp:anchor>
        </w:drawing>
        <w:drawing>
          <wp:anchor behindDoc="0" distT="0" distB="0" distL="114935" distR="114935" simplePos="0" locked="0" layoutInCell="0" allowOverlap="1" relativeHeight="4">
            <wp:simplePos x="0" y="0"/>
            <wp:positionH relativeFrom="column">
              <wp:posOffset>525780</wp:posOffset>
            </wp:positionH>
            <wp:positionV relativeFrom="paragraph">
              <wp:posOffset>2785745</wp:posOffset>
            </wp:positionV>
            <wp:extent cx="4343400" cy="2680970"/>
            <wp:effectExtent l="0" t="0" r="0" b="0"/>
            <wp:wrapTopAndBottom/>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5"/>
                    <a:srcRect l="-4" t="-6" r="-4" b="-6"/>
                    <a:stretch>
                      <a:fillRect/>
                    </a:stretch>
                  </pic:blipFill>
                  <pic:spPr bwMode="auto">
                    <a:xfrm>
                      <a:off x="0" y="0"/>
                      <a:ext cx="4343400" cy="2680970"/>
                    </a:xfrm>
                    <a:prstGeom prst="rect">
                      <a:avLst/>
                    </a:prstGeom>
                    <a:noFill/>
                  </pic:spPr>
                </pic:pic>
              </a:graphicData>
            </a:graphic>
          </wp:anchor>
        </w:drawing>
      </w:r>
      <w:r>
        <w:rPr/>
        <w:t>winter for example, it took a combination of the two to make it look reasonable.  Thus the combined approach.</w:t>
      </w:r>
    </w:p>
    <w:sectPr>
      <w:type w:val="nextPage"/>
      <w:pgSz w:w="12240" w:h="15840"/>
      <w:pgMar w:left="900" w:right="1800" w:gutter="0" w:header="0" w:top="810" w:footer="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N)">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2000-11-15T14:02:00Z</dcterms:created>
  <dc:creator>drosenb</dc:creator>
  <dc:description/>
  <dc:language>en-CA</dc:language>
  <cp:lastModifiedBy>drosenb</cp:lastModifiedBy>
  <cp:lastPrinted>2000-11-20T14:44:00Z</cp:lastPrinted>
  <dcterms:modified xsi:type="dcterms:W3CDTF">2000-11-20T18:19:00Z</dcterms:modified>
  <cp:revision>7</cp:revision>
  <dc:subject/>
  <dc:title>  To: Distribution</dc:title>
</cp:coreProperties>
</file>