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Forecasting Volatilities and Correlations for Pricing Exotic Options on Crude Oil</w:t>
      </w:r>
    </w:p>
    <w:p>
      <w:pPr>
        <w:pStyle w:val="Normal"/>
        <w:ind w:firstLine="720" w:end="0"/>
        <w:rPr/>
      </w:pPr>
      <w:r>
        <w:rPr/>
        <w:t>A methodology is proposed to forecast the time evolution of the volatilities of different contracts on the forward price curve which allows to estimate all the necessary inputs for pricing such exotic options as Asian, calendar spread and swaptions.</w:t>
      </w:r>
    </w:p>
    <w:p>
      <w:pPr>
        <w:pStyle w:val="Normal"/>
        <w:rPr/>
      </w:pPr>
      <w:r>
        <w:rPr/>
      </w:r>
    </w:p>
    <w:p>
      <w:pPr>
        <w:pStyle w:val="Heading"/>
        <w:rPr/>
      </w:pPr>
      <w:r>
        <w:rPr/>
        <w:t>Starting Point: European Volatility Curve</w:t>
      </w:r>
    </w:p>
    <w:p>
      <w:pPr>
        <w:pStyle w:val="Normal"/>
        <w:ind w:firstLine="720" w:end="0"/>
        <w:rPr/>
      </w:pPr>
      <w:r>
        <w:rPr/>
        <w:t>European options are the simplest to value since there is no need to forecast the time evolution of volatility. The only thing that is relevant from the Black-Scholes’ point of view is the “overall” volatility from now to the option expiration which determines the cumulative variance of price log-returns. It is not necessary to know how this variance is distributed over time. Besides, European options are relatively actively traded on NYMEX and this provides a reasonable estimate of their fair value.</w:t>
      </w:r>
    </w:p>
    <w:p>
      <w:pPr>
        <w:pStyle w:val="Normal"/>
        <w:ind w:firstLine="720" w:end="0"/>
        <w:rPr/>
      </w:pPr>
      <w:r>
        <w:rPr/>
      </w:r>
    </w:p>
    <w:p>
      <w:pPr>
        <w:pStyle w:val="Heading"/>
        <w:rPr/>
      </w:pPr>
      <w:r>
        <w:rPr/>
        <w:t>Need to Account for the Volatility and Correlation Term Structure</w:t>
      </w:r>
    </w:p>
    <w:p>
      <w:pPr>
        <w:pStyle w:val="Normal"/>
        <w:ind w:firstLine="720" w:end="0"/>
        <w:rPr/>
      </w:pPr>
      <w:r>
        <w:rPr/>
        <w:t>Volatility of a given contract is for various reasons expected to rise as it approaches its maturity. That means that if one is to price a derivative which is based on the price of a contract at some point in time before the contract maturity, one has to estimate how price variability is distributed over time and what portion of it corresponds to the option’s lifetime. One example is a calendar spread option where the later contract still has one or more months to go when the option expires. Another example is a swaption where the underlying contracts have several months to go when the swaption expires. Finally, the same issue comes up in pricing Asian crude oil options since they involve two underlying contracts and the later one has several weeks to go when the options expires. Likewise, correlations between different contracts are expected to decrease over time. Therefore, to price all these options consistently, one should forecast volatilities and correlations for the whole forward curve over each time step.</w:t>
      </w:r>
    </w:p>
    <w:p>
      <w:pPr>
        <w:pStyle w:val="Normal"/>
        <w:ind w:firstLine="720" w:end="0"/>
        <w:rPr/>
      </w:pPr>
      <w:r>
        <w:rPr/>
      </w:r>
    </w:p>
    <w:p>
      <w:pPr>
        <w:pStyle w:val="Heading"/>
        <w:rPr/>
      </w:pPr>
      <w:r>
        <w:rPr/>
        <w:t>Approach Currently in Place</w:t>
      </w:r>
    </w:p>
    <w:p>
      <w:pPr>
        <w:pStyle w:val="Normal"/>
        <w:ind w:firstLine="720" w:end="0"/>
        <w:rPr/>
      </w:pPr>
      <w:r>
        <w:rPr/>
        <w:t>The VAR system currently implements the following approach. The current prompt volatility is assumed to be the expected volatility of the currently second contract when it becomes prompt (second month). The corresponding variance is subtracted from the total (two-month) variance of the second contract, this variance represents the variance of the second contract over the current month and can be converted into volatility. Then the third contract is analyzed, its volatilities over its last two months come from the first two contracts and the volatility over the current month is backed out from the overall volatility the way the current volatility of the second contract was derived. This approach has several serious problems. Sometimes, the described mechanism breaks down (when negative variances are backed out) or gives unreasonable values (either too close to zero or above the volatilities of a shorter-maturity contract over the same time step). This may happen because errors are accumulated from the future to the present since this is the way volatilities are derived.</w:t>
      </w:r>
    </w:p>
    <w:p>
      <w:pPr>
        <w:pStyle w:val="Normal"/>
        <w:ind w:firstLine="720" w:end="0"/>
        <w:rPr/>
      </w:pPr>
      <w:r>
        <w:rPr/>
      </w:r>
    </w:p>
    <w:p>
      <w:pPr>
        <w:pStyle w:val="Heading"/>
        <w:rPr/>
      </w:pPr>
      <w:r>
        <w:rPr/>
        <w:t>Proposed Approach</w:t>
      </w:r>
    </w:p>
    <w:p>
      <w:pPr>
        <w:pStyle w:val="BodyTextIndent"/>
        <w:rPr/>
      </w:pPr>
      <w:r>
        <w:rPr/>
        <w:t>It would make more sense to forecast the volatilities of different contracts contemporaneously onward so that a consistent and reasonable term structure is ensured along the way. One possibility would be to express the volatility of contract “i” in terms of that of contract “i-1”, which in turn can be expressed in terms of that of contract “i-2” until all volatilities are expressed in terms of the prompt volatility. This framework is intuitive because the prompt volatility is something that one can talk about and make some assumptions about. To derive volatility “i” in terms of volatility “i-1”, one could assume that price log-return “i” is related to price log-return “i-1” trough a one-variable regression model:</w:t>
      </w:r>
    </w:p>
    <w:p>
      <w:pPr>
        <w:pStyle w:val="Normal"/>
        <w:ind w:firstLine="720" w:end="0"/>
        <w:jc w:val="center"/>
        <w:rPr/>
      </w:pPr>
      <w:r>
        <w:rPr>
          <w:b/>
        </w:rPr>
        <w:t>r</w:t>
      </w:r>
      <w:r>
        <w:rPr>
          <w:b/>
          <w:vertAlign w:val="subscript"/>
        </w:rPr>
        <w:t>i t</w:t>
      </w:r>
      <w:r>
        <w:rPr>
          <w:b/>
        </w:rPr>
        <w:t xml:space="preserve"> = </w:t>
      </w:r>
      <w:r>
        <w:rPr>
          <w:rFonts w:eastAsia="Symbol" w:cs="Symbol" w:ascii="Symbol" w:hAnsi="Symbol"/>
          <w:b/>
        </w:rPr>
        <w:sym w:font="Symbol" w:char="f062"/>
      </w:r>
      <w:r>
        <w:rPr>
          <w:b/>
          <w:vertAlign w:val="subscript"/>
        </w:rPr>
        <w:t>i</w:t>
      </w:r>
      <w:r>
        <w:rPr>
          <w:b/>
        </w:rPr>
        <w:t xml:space="preserve"> r</w:t>
      </w:r>
      <w:r>
        <w:rPr>
          <w:b/>
          <w:vertAlign w:val="subscript"/>
        </w:rPr>
        <w:t>i-1 t</w:t>
      </w:r>
      <w:r>
        <w:rPr>
          <w:b/>
        </w:rPr>
        <w:t xml:space="preserve"> + </w:t>
      </w:r>
      <w:r>
        <w:rPr>
          <w:rFonts w:eastAsia="Symbol" w:cs="Symbol" w:ascii="Symbol" w:hAnsi="Symbol"/>
          <w:b/>
        </w:rPr>
        <w:sym w:font="Symbol" w:char="f065"/>
      </w:r>
      <w:r>
        <w:rPr>
          <w:b/>
          <w:vertAlign w:val="subscript"/>
        </w:rPr>
        <w:t>i t</w:t>
      </w:r>
      <w:r>
        <w:rPr/>
        <w:t>,</w:t>
      </w:r>
    </w:p>
    <w:p>
      <w:pPr>
        <w:pStyle w:val="Normal"/>
        <w:ind w:firstLine="720" w:end="0"/>
        <w:rPr/>
      </w:pPr>
      <w:r>
        <w:rPr/>
        <w:t>where “</w:t>
      </w:r>
      <w:r>
        <w:rPr>
          <w:rFonts w:eastAsia="Symbol" w:cs="Symbol" w:ascii="Symbol" w:hAnsi="Symbol"/>
        </w:rPr>
        <w:sym w:font="Symbol" w:char="f062"/>
      </w:r>
      <w:r>
        <w:rPr>
          <w:vertAlign w:val="subscript"/>
        </w:rPr>
        <w:t>i</w:t>
      </w:r>
      <w:r>
        <w:rPr/>
        <w:t xml:space="preserve"> r</w:t>
      </w:r>
      <w:r>
        <w:rPr>
          <w:vertAlign w:val="subscript"/>
        </w:rPr>
        <w:t>i-1 t</w:t>
      </w:r>
      <w:r>
        <w:rPr/>
        <w:t>” is the component explained by the log-return of the shorter-term price, “</w:t>
      </w:r>
      <w:r>
        <w:rPr>
          <w:rFonts w:eastAsia="Symbol" w:cs="Symbol" w:ascii="Symbol" w:hAnsi="Symbol"/>
        </w:rPr>
        <w:sym w:font="Symbol" w:char="f065"/>
      </w:r>
      <w:r>
        <w:rPr>
          <w:vertAlign w:val="subscript"/>
        </w:rPr>
        <w:t>i t</w:t>
      </w:r>
      <w:r>
        <w:rPr/>
        <w:t>” is the “unexplained” independent component, “t” is the time step index. The R</w:t>
      </w:r>
      <w:r>
        <w:rPr>
          <w:vertAlign w:val="superscript"/>
        </w:rPr>
        <w:t>2</w:t>
      </w:r>
      <w:r>
        <w:rPr/>
        <w:t xml:space="preserve"> of this regression relates the variances of the two returns to each other:</w:t>
      </w:r>
    </w:p>
    <w:p>
      <w:pPr>
        <w:pStyle w:val="Normal"/>
        <w:ind w:firstLine="720" w:end="0"/>
        <w:jc w:val="center"/>
        <w:rPr/>
      </w:pPr>
      <w:r>
        <w:rPr/>
        <w:t>R</w:t>
      </w:r>
      <w:r>
        <w:rPr>
          <w:vertAlign w:val="subscript"/>
        </w:rPr>
        <w:t>i</w:t>
      </w:r>
      <w:r>
        <w:rPr>
          <w:vertAlign w:val="superscript"/>
        </w:rPr>
        <w:t>2</w:t>
      </w:r>
      <w:r>
        <w:rPr/>
        <w:t xml:space="preserve"> = </w:t>
      </w:r>
      <w:r>
        <w:rPr>
          <w:rFonts w:eastAsia="Symbol" w:cs="Symbol" w:ascii="Symbol" w:hAnsi="Symbol"/>
        </w:rPr>
        <w:sym w:font="Symbol" w:char="f062"/>
      </w:r>
      <w:r>
        <w:rPr>
          <w:vertAlign w:val="subscript"/>
        </w:rPr>
        <w:t>i</w:t>
      </w:r>
      <w:r>
        <w:rPr>
          <w:vertAlign w:val="superscript"/>
        </w:rPr>
        <w:t>2</w:t>
      </w:r>
      <w:r>
        <w:rPr/>
        <w:t xml:space="preserve"> Var</w:t>
      </w:r>
      <w:r>
        <w:rPr>
          <w:vertAlign w:val="subscript"/>
        </w:rPr>
        <w:t>i-1 t</w:t>
      </w:r>
      <w:r>
        <w:rPr/>
        <w:t xml:space="preserve"> / Var</w:t>
      </w:r>
      <w:r>
        <w:rPr>
          <w:vertAlign w:val="subscript"/>
        </w:rPr>
        <w:t>i t</w:t>
      </w:r>
    </w:p>
    <w:p>
      <w:pPr>
        <w:pStyle w:val="Normal"/>
        <w:ind w:firstLine="720" w:end="0"/>
        <w:rPr/>
      </w:pPr>
      <w:r>
        <w:rPr/>
        <w:t>which allows to express “Var</w:t>
      </w:r>
      <w:r>
        <w:rPr>
          <w:vertAlign w:val="subscript"/>
        </w:rPr>
        <w:t>i t</w:t>
      </w:r>
      <w:r>
        <w:rPr/>
        <w:t>” in terms of “Var</w:t>
      </w:r>
      <w:r>
        <w:rPr>
          <w:vertAlign w:val="subscript"/>
        </w:rPr>
        <w:t>i-1 t</w:t>
      </w:r>
      <w:r>
        <w:rPr/>
        <w:t>”:</w:t>
      </w:r>
    </w:p>
    <w:p>
      <w:pPr>
        <w:pStyle w:val="Normal"/>
        <w:ind w:firstLine="720" w:end="0"/>
        <w:jc w:val="center"/>
        <w:rPr>
          <w:vertAlign w:val="subscript"/>
        </w:rPr>
      </w:pPr>
      <w:r>
        <w:rPr/>
        <w:t>Var</w:t>
      </w:r>
      <w:r>
        <w:rPr>
          <w:vertAlign w:val="subscript"/>
        </w:rPr>
        <w:t>i t</w:t>
      </w:r>
      <w:r>
        <w:rPr/>
        <w:t xml:space="preserve"> = </w:t>
      </w:r>
      <w:r>
        <w:rPr>
          <w:rFonts w:eastAsia="Symbol" w:cs="Symbol" w:ascii="Symbol" w:hAnsi="Symbol"/>
        </w:rPr>
        <w:sym w:font="Symbol" w:char="f062"/>
      </w:r>
      <w:r>
        <w:rPr>
          <w:vertAlign w:val="subscript"/>
        </w:rPr>
        <w:t>i</w:t>
      </w:r>
      <w:r>
        <w:rPr>
          <w:vertAlign w:val="superscript"/>
        </w:rPr>
        <w:t>2</w:t>
      </w:r>
      <w:r>
        <w:rPr/>
        <w:t xml:space="preserve"> Var</w:t>
      </w:r>
      <w:r>
        <w:rPr>
          <w:vertAlign w:val="subscript"/>
        </w:rPr>
        <w:t>i-1 t</w:t>
      </w:r>
      <w:r>
        <w:rPr/>
        <w:t xml:space="preserve"> / R</w:t>
      </w:r>
      <w:r>
        <w:rPr>
          <w:vertAlign w:val="subscript"/>
        </w:rPr>
        <w:t>i</w:t>
      </w:r>
      <w:r>
        <w:rPr>
          <w:vertAlign w:val="superscript"/>
        </w:rPr>
        <w:t>2</w:t>
      </w:r>
    </w:p>
    <w:p>
      <w:pPr>
        <w:pStyle w:val="Normal"/>
        <w:ind w:firstLine="720" w:end="0"/>
        <w:rPr/>
      </w:pPr>
      <w:r>
        <w:rPr/>
        <w:t>and eventually, in terms of the prompt variance:</w:t>
      </w:r>
    </w:p>
    <w:p>
      <w:pPr>
        <w:pStyle w:val="Normal"/>
        <w:ind w:firstLine="720" w:end="0"/>
        <w:jc w:val="center"/>
        <w:rPr/>
      </w:pPr>
      <w:r>
        <w:rPr/>
        <w:t>Var</w:t>
      </w:r>
      <w:r>
        <w:rPr>
          <w:vertAlign w:val="subscript"/>
        </w:rPr>
        <w:t>i t</w:t>
      </w:r>
      <w:r>
        <w:rPr/>
        <w:t xml:space="preserve"> = Var</w:t>
      </w:r>
      <w:r>
        <w:rPr>
          <w:vertAlign w:val="subscript"/>
        </w:rPr>
        <w:t>1 t</w:t>
      </w:r>
      <w:r>
        <w:rPr/>
        <w:t xml:space="preserve"> </w:t>
      </w:r>
      <w:r>
        <w:rPr>
          <w:rFonts w:eastAsia="Symbol" w:cs="Symbol" w:ascii="Symbol" w:hAnsi="Symbol"/>
        </w:rPr>
        <w:sym w:font="Symbol" w:char="f050"/>
      </w:r>
      <w:r>
        <w:rPr>
          <w:vertAlign w:val="subscript"/>
        </w:rPr>
        <w:t>j=2,3,…,i</w:t>
      </w:r>
      <w:r>
        <w:rPr/>
        <w:t xml:space="preserve"> </w:t>
      </w:r>
      <w:r>
        <w:rPr>
          <w:rFonts w:eastAsia="Symbol" w:cs="Symbol" w:ascii="Symbol" w:hAnsi="Symbol"/>
        </w:rPr>
        <w:sym w:font="Symbol" w:char="f062"/>
      </w:r>
      <w:r>
        <w:rPr>
          <w:vertAlign w:val="subscript"/>
        </w:rPr>
        <w:t>j</w:t>
      </w:r>
      <w:r>
        <w:rPr>
          <w:vertAlign w:val="superscript"/>
        </w:rPr>
        <w:t>2</w:t>
      </w:r>
      <w:r>
        <w:rPr/>
        <w:t xml:space="preserve"> / R</w:t>
      </w:r>
      <w:r>
        <w:rPr>
          <w:vertAlign w:val="subscript"/>
        </w:rPr>
        <w:t>j</w:t>
      </w:r>
      <w:r>
        <w:rPr>
          <w:vertAlign w:val="superscript"/>
        </w:rPr>
        <w:t>2</w:t>
      </w:r>
      <w:r>
        <w:rPr/>
        <w:t>,</w:t>
      </w:r>
    </w:p>
    <w:p>
      <w:pPr>
        <w:pStyle w:val="Normal"/>
        <w:ind w:firstLine="720" w:end="0"/>
        <w:jc w:val="center"/>
        <w:rPr/>
      </w:pPr>
      <w:r>
        <w:rPr>
          <w:rFonts w:eastAsia="Symbol" w:cs="Symbol" w:ascii="Symbol" w:hAnsi="Symbol"/>
          <w:b/>
        </w:rPr>
        <w:sym w:font="Symbol" w:char="f073"/>
      </w:r>
      <w:r>
        <w:rPr>
          <w:b/>
          <w:vertAlign w:val="subscript"/>
        </w:rPr>
        <w:t>i t</w:t>
      </w:r>
      <w:r>
        <w:rPr>
          <w:b/>
        </w:rPr>
        <w:t xml:space="preserve"> = </w:t>
      </w:r>
      <w:r>
        <w:rPr>
          <w:rFonts w:eastAsia="Symbol" w:cs="Symbol" w:ascii="Symbol" w:hAnsi="Symbol"/>
          <w:b/>
        </w:rPr>
        <w:sym w:font="Symbol" w:char="f073"/>
      </w:r>
      <w:r>
        <w:rPr>
          <w:b/>
          <w:vertAlign w:val="subscript"/>
        </w:rPr>
        <w:t>1 t</w:t>
      </w:r>
      <w:r>
        <w:rPr>
          <w:b/>
        </w:rPr>
        <w:t xml:space="preserve"> </w:t>
      </w:r>
      <w:r>
        <w:rPr>
          <w:rFonts w:eastAsia="Symbol" w:cs="Symbol" w:ascii="Symbol" w:hAnsi="Symbol"/>
          <w:b/>
        </w:rPr>
        <w:sym w:font="Symbol" w:char="f050"/>
      </w:r>
      <w:r>
        <w:rPr>
          <w:b/>
          <w:vertAlign w:val="subscript"/>
        </w:rPr>
        <w:t>j=2,3,…,i</w:t>
      </w:r>
      <w:r>
        <w:rPr>
          <w:b/>
        </w:rPr>
        <w:t xml:space="preserve"> </w:t>
      </w:r>
      <w:r>
        <w:rPr>
          <w:rFonts w:eastAsia="Symbol" w:cs="Symbol" w:ascii="Symbol" w:hAnsi="Symbol"/>
          <w:b/>
        </w:rPr>
        <w:sym w:font="Symbol" w:char="f062"/>
      </w:r>
      <w:r>
        <w:rPr>
          <w:b/>
          <w:vertAlign w:val="subscript"/>
        </w:rPr>
        <w:t>j</w:t>
      </w:r>
      <w:r>
        <w:rPr>
          <w:b/>
        </w:rPr>
        <w:t xml:space="preserve"> / R</w:t>
      </w:r>
      <w:r>
        <w:rPr>
          <w:b/>
          <w:vertAlign w:val="subscript"/>
        </w:rPr>
        <w:t>j</w:t>
      </w:r>
      <w:r>
        <w:rPr/>
        <w:t>,</w:t>
      </w:r>
    </w:p>
    <w:p>
      <w:pPr>
        <w:pStyle w:val="BodyTextIndent"/>
        <w:rPr/>
      </w:pPr>
      <w:r>
        <w:rPr/>
        <w:t>Now if we make assumptions about the expected future prompt volatility for each time step, we can derive the expected time evolution of a specific contract’s volatility (first index corresponds to a specific contract, second – to the time step):</w:t>
      </w:r>
    </w:p>
    <w:p>
      <w:pPr>
        <w:pStyle w:val="BodyTextIndent"/>
        <w:rPr/>
      </w:pPr>
      <w:r>
        <w:rPr>
          <w:rFonts w:eastAsia="Symbol" w:cs="Symbol" w:ascii="Symbol" w:hAnsi="Symbol"/>
          <w:b/>
        </w:rPr>
        <w:sym w:font="Symbol" w:char="f073"/>
      </w:r>
      <w:r>
        <w:rPr>
          <w:b/>
          <w:vertAlign w:val="subscript"/>
        </w:rPr>
        <w:t>i 1</w:t>
      </w:r>
      <w:r>
        <w:rPr>
          <w:b/>
        </w:rPr>
        <w:t xml:space="preserve"> = </w:t>
      </w:r>
      <w:r>
        <w:rPr>
          <w:rFonts w:eastAsia="Symbol" w:cs="Symbol" w:ascii="Symbol" w:hAnsi="Symbol"/>
          <w:b/>
        </w:rPr>
        <w:sym w:font="Symbol" w:char="f073"/>
      </w:r>
      <w:r>
        <w:rPr>
          <w:b/>
          <w:vertAlign w:val="subscript"/>
        </w:rPr>
        <w:t>1 1</w:t>
      </w:r>
      <w:r>
        <w:rPr>
          <w:b/>
        </w:rPr>
        <w:t xml:space="preserve"> </w:t>
      </w:r>
      <w:r>
        <w:rPr>
          <w:rFonts w:eastAsia="Symbol" w:cs="Symbol" w:ascii="Symbol" w:hAnsi="Symbol"/>
          <w:b/>
        </w:rPr>
        <w:sym w:font="Symbol" w:char="f050"/>
      </w:r>
      <w:r>
        <w:rPr>
          <w:b/>
          <w:vertAlign w:val="subscript"/>
        </w:rPr>
        <w:t>j=2,3,…,i-1,i</w:t>
      </w:r>
      <w:r>
        <w:rPr>
          <w:b/>
        </w:rPr>
        <w:t xml:space="preserve"> </w:t>
      </w:r>
      <w:r>
        <w:rPr>
          <w:rFonts w:eastAsia="Symbol" w:cs="Symbol" w:ascii="Symbol" w:hAnsi="Symbol"/>
          <w:b/>
        </w:rPr>
        <w:sym w:font="Symbol" w:char="f062"/>
      </w:r>
      <w:r>
        <w:rPr>
          <w:b/>
          <w:vertAlign w:val="subscript"/>
        </w:rPr>
        <w:t>j</w:t>
      </w:r>
      <w:r>
        <w:rPr>
          <w:b/>
        </w:rPr>
        <w:t xml:space="preserve"> / R</w:t>
      </w:r>
      <w:r>
        <w:rPr>
          <w:b/>
          <w:vertAlign w:val="subscript"/>
        </w:rPr>
        <w:t>j</w:t>
      </w:r>
      <w:r>
        <w:rPr>
          <w:b/>
        </w:rPr>
        <w:t>,</w:t>
      </w:r>
    </w:p>
    <w:p>
      <w:pPr>
        <w:pStyle w:val="BodyTextIndent"/>
        <w:rPr/>
      </w:pPr>
      <w:r>
        <w:rPr>
          <w:rFonts w:eastAsia="Symbol" w:cs="Symbol" w:ascii="Symbol" w:hAnsi="Symbol"/>
          <w:b/>
        </w:rPr>
        <w:sym w:font="Symbol" w:char="f073"/>
      </w:r>
      <w:r>
        <w:rPr>
          <w:b/>
          <w:vertAlign w:val="subscript"/>
        </w:rPr>
        <w:t>i 2</w:t>
      </w:r>
      <w:r>
        <w:rPr>
          <w:b/>
        </w:rPr>
        <w:t xml:space="preserve"> = </w:t>
      </w:r>
      <w:r>
        <w:rPr>
          <w:rFonts w:eastAsia="Symbol" w:cs="Symbol" w:ascii="Symbol" w:hAnsi="Symbol"/>
          <w:b/>
        </w:rPr>
        <w:sym w:font="Symbol" w:char="f073"/>
      </w:r>
      <w:r>
        <w:rPr>
          <w:b/>
          <w:vertAlign w:val="subscript"/>
        </w:rPr>
        <w:t>1 2</w:t>
      </w:r>
      <w:r>
        <w:rPr>
          <w:b/>
        </w:rPr>
        <w:t xml:space="preserve"> </w:t>
      </w:r>
      <w:r>
        <w:rPr>
          <w:rFonts w:eastAsia="Symbol" w:cs="Symbol" w:ascii="Symbol" w:hAnsi="Symbol"/>
          <w:b/>
        </w:rPr>
        <w:sym w:font="Symbol" w:char="f050"/>
      </w:r>
      <w:r>
        <w:rPr>
          <w:b/>
          <w:vertAlign w:val="subscript"/>
        </w:rPr>
        <w:t>j=2,3,…,i-1</w:t>
      </w:r>
      <w:r>
        <w:rPr>
          <w:b/>
        </w:rPr>
        <w:t xml:space="preserve"> </w:t>
      </w:r>
      <w:r>
        <w:rPr>
          <w:rFonts w:eastAsia="Symbol" w:cs="Symbol" w:ascii="Symbol" w:hAnsi="Symbol"/>
          <w:b/>
        </w:rPr>
        <w:sym w:font="Symbol" w:char="f062"/>
      </w:r>
      <w:r>
        <w:rPr>
          <w:b/>
          <w:vertAlign w:val="subscript"/>
        </w:rPr>
        <w:t>j</w:t>
      </w:r>
      <w:r>
        <w:rPr>
          <w:b/>
        </w:rPr>
        <w:t xml:space="preserve"> / R</w:t>
      </w:r>
      <w:r>
        <w:rPr>
          <w:b/>
          <w:vertAlign w:val="subscript"/>
        </w:rPr>
        <w:t>j</w:t>
      </w:r>
      <w:r>
        <w:rPr>
          <w:b/>
        </w:rPr>
        <w:t>,</w:t>
      </w:r>
    </w:p>
    <w:p>
      <w:pPr>
        <w:pStyle w:val="BodyTextIndent"/>
        <w:rPr>
          <w:b/>
        </w:rPr>
      </w:pPr>
      <w:r>
        <w:rPr>
          <w:b/>
        </w:rPr>
        <w:t>…</w:t>
      </w:r>
    </w:p>
    <w:p>
      <w:pPr>
        <w:pStyle w:val="BodyTextIndent"/>
        <w:rPr/>
      </w:pPr>
      <w:r>
        <w:rPr>
          <w:rFonts w:eastAsia="Symbol" w:cs="Symbol" w:ascii="Symbol" w:hAnsi="Symbol"/>
          <w:b/>
        </w:rPr>
        <w:sym w:font="Symbol" w:char="f073"/>
      </w:r>
      <w:r>
        <w:rPr>
          <w:b/>
          <w:vertAlign w:val="subscript"/>
        </w:rPr>
        <w:t>i i-1</w:t>
      </w:r>
      <w:r>
        <w:rPr>
          <w:b/>
        </w:rPr>
        <w:t xml:space="preserve"> = </w:t>
      </w:r>
      <w:r>
        <w:rPr>
          <w:rFonts w:eastAsia="Symbol" w:cs="Symbol" w:ascii="Symbol" w:hAnsi="Symbol"/>
          <w:b/>
        </w:rPr>
        <w:sym w:font="Symbol" w:char="f073"/>
      </w:r>
      <w:r>
        <w:rPr>
          <w:b/>
          <w:vertAlign w:val="subscript"/>
        </w:rPr>
        <w:t>1 i-1</w:t>
      </w:r>
      <w:r>
        <w:rPr>
          <w:b/>
        </w:rPr>
        <w:t xml:space="preserve"> </w:t>
      </w:r>
      <w:r>
        <w:rPr>
          <w:rFonts w:eastAsia="Symbol" w:cs="Symbol" w:ascii="Symbol" w:hAnsi="Symbol"/>
          <w:b/>
        </w:rPr>
        <w:sym w:font="Symbol" w:char="f062"/>
      </w:r>
      <w:r>
        <w:rPr>
          <w:b/>
          <w:vertAlign w:val="subscript"/>
        </w:rPr>
        <w:t>2</w:t>
      </w:r>
      <w:r>
        <w:rPr>
          <w:b/>
        </w:rPr>
        <w:t xml:space="preserve"> / R</w:t>
      </w:r>
      <w:r>
        <w:rPr>
          <w:b/>
          <w:vertAlign w:val="subscript"/>
        </w:rPr>
        <w:t>2</w:t>
      </w:r>
      <w:r>
        <w:rPr>
          <w:b/>
        </w:rPr>
        <w:t>,</w:t>
      </w:r>
    </w:p>
    <w:p>
      <w:pPr>
        <w:pStyle w:val="BodyTextIndent"/>
        <w:rPr/>
      </w:pPr>
      <w:r>
        <w:rPr>
          <w:rFonts w:eastAsia="Symbol" w:cs="Symbol" w:ascii="Symbol" w:hAnsi="Symbol"/>
          <w:b/>
        </w:rPr>
        <w:sym w:font="Symbol" w:char="f073"/>
      </w:r>
      <w:r>
        <w:rPr>
          <w:b/>
          <w:vertAlign w:val="subscript"/>
        </w:rPr>
        <w:t>i i</w:t>
      </w:r>
      <w:r>
        <w:rPr>
          <w:b/>
        </w:rPr>
        <w:t xml:space="preserve"> = </w:t>
      </w:r>
      <w:r>
        <w:rPr>
          <w:rFonts w:eastAsia="Symbol" w:cs="Symbol" w:ascii="Symbol" w:hAnsi="Symbol"/>
          <w:b/>
        </w:rPr>
        <w:sym w:font="Symbol" w:char="f073"/>
      </w:r>
      <w:r>
        <w:rPr>
          <w:b/>
          <w:vertAlign w:val="subscript"/>
        </w:rPr>
        <w:t>1 i</w:t>
      </w:r>
      <w:r>
        <w:rPr/>
        <w:t xml:space="preserve"> </w:t>
      </w:r>
    </w:p>
    <w:p>
      <w:pPr>
        <w:pStyle w:val="BodyTextIndent"/>
        <w:rPr/>
      </w:pPr>
      <w:r>
        <w:rPr/>
        <w:t>These allow to calculate the cumulative variance of a specific contract over any time period and convert it into the corresponding volatility to be used by an option pricing formula:</w:t>
      </w:r>
    </w:p>
    <w:p>
      <w:pPr>
        <w:pStyle w:val="BodyTextIndent"/>
        <w:rPr/>
      </w:pPr>
      <w:r>
        <w:rPr>
          <w:b/>
        </w:rPr>
        <w:t>Var</w:t>
      </w:r>
      <w:r>
        <w:rPr>
          <w:b/>
          <w:vertAlign w:val="subscript"/>
        </w:rPr>
        <w:t>i</w:t>
      </w:r>
      <w:r>
        <w:rPr>
          <w:b/>
        </w:rPr>
        <w:t>(over “1,…,k”) = Var</w:t>
      </w:r>
      <w:r>
        <w:rPr>
          <w:b/>
          <w:vertAlign w:val="subscript"/>
        </w:rPr>
        <w:t>i 1</w:t>
      </w:r>
      <w:r>
        <w:rPr>
          <w:b/>
        </w:rPr>
        <w:t xml:space="preserve"> + Var</w:t>
      </w:r>
      <w:r>
        <w:rPr>
          <w:b/>
          <w:vertAlign w:val="subscript"/>
        </w:rPr>
        <w:t>i 2</w:t>
      </w:r>
      <w:r>
        <w:rPr>
          <w:b/>
        </w:rPr>
        <w:t xml:space="preserve"> + … + Var</w:t>
      </w:r>
      <w:r>
        <w:rPr>
          <w:b/>
          <w:vertAlign w:val="subscript"/>
        </w:rPr>
        <w:t>i k</w:t>
      </w:r>
      <w:r>
        <w:rPr>
          <w:b/>
        </w:rPr>
        <w:t>,</w:t>
      </w:r>
    </w:p>
    <w:p>
      <w:pPr>
        <w:pStyle w:val="BodyTextIndent"/>
        <w:rPr/>
      </w:pPr>
      <w:r>
        <w:rPr>
          <w:rFonts w:eastAsia="Symbol" w:cs="Symbol" w:ascii="Symbol" w:hAnsi="Symbol"/>
          <w:b/>
        </w:rPr>
        <w:sym w:font="Symbol" w:char="f073"/>
      </w:r>
      <w:r>
        <w:rPr>
          <w:b/>
          <w:vertAlign w:val="subscript"/>
        </w:rPr>
        <w:t>i</w:t>
      </w:r>
      <w:r>
        <w:rPr>
          <w:b/>
        </w:rPr>
        <w:t>(over “1,…,k”) = sqrt(Var</w:t>
      </w:r>
      <w:r>
        <w:rPr>
          <w:b/>
          <w:vertAlign w:val="subscript"/>
        </w:rPr>
        <w:t>i</w:t>
      </w:r>
      <w:r>
        <w:rPr>
          <w:b/>
        </w:rPr>
        <w:t>(over “1,…,k”)/T</w:t>
      </w:r>
      <w:r>
        <w:rPr>
          <w:b/>
          <w:vertAlign w:val="subscript"/>
        </w:rPr>
        <w:t>k</w:t>
      </w:r>
      <w:r>
        <w:rPr>
          <w:b/>
        </w:rPr>
        <w:t>)</w:t>
      </w:r>
    </w:p>
    <w:p>
      <w:pPr>
        <w:pStyle w:val="BodyTextIndent"/>
        <w:rPr/>
      </w:pPr>
      <w:r>
        <w:rPr/>
        <w:t>This framework also allows to derive the correlation between any pair of contracts over a specific time step, as well as the effective correlation over several time steps (effective, since the correlations over different time steps will be different), assuming i &gt; j:</w:t>
      </w:r>
    </w:p>
    <w:p>
      <w:pPr>
        <w:pStyle w:val="BodyTextIndent"/>
        <w:rPr/>
      </w:pPr>
      <w:r>
        <w:rPr/>
        <w:t>Cov(r</w:t>
      </w:r>
      <w:r>
        <w:rPr>
          <w:vertAlign w:val="subscript"/>
        </w:rPr>
        <w:t>i 1</w:t>
      </w:r>
      <w:r>
        <w:rPr/>
        <w:t>, r</w:t>
      </w:r>
      <w:r>
        <w:rPr>
          <w:vertAlign w:val="subscript"/>
        </w:rPr>
        <w:t>j 1</w:t>
      </w:r>
      <w:r>
        <w:rPr/>
        <w:t>) = Cov(</w:t>
      </w:r>
      <w:r>
        <w:rPr>
          <w:rFonts w:eastAsia="Symbol" w:cs="Symbol" w:ascii="Symbol" w:hAnsi="Symbol"/>
        </w:rPr>
        <w:sym w:font="Symbol" w:char="f065"/>
      </w:r>
      <w:r>
        <w:rPr>
          <w:vertAlign w:val="subscript"/>
        </w:rPr>
        <w:t>j 1</w:t>
      </w:r>
      <w:r>
        <w:rPr>
          <w:rFonts w:eastAsia="Symbol" w:cs="Symbol" w:ascii="Symbol" w:hAnsi="Symbol"/>
        </w:rPr>
        <w:sym w:font="Symbol" w:char="f062"/>
      </w:r>
      <w:r>
        <w:rPr>
          <w:vertAlign w:val="subscript"/>
        </w:rPr>
        <w:t>j+1</w:t>
      </w:r>
      <w:r>
        <w:rPr/>
        <w:t>…</w:t>
      </w:r>
      <w:r>
        <w:rPr>
          <w:rFonts w:eastAsia="Symbol" w:cs="Symbol" w:ascii="Symbol" w:hAnsi="Symbol"/>
        </w:rPr>
        <w:sym w:font="Symbol" w:char="f062"/>
      </w:r>
      <w:r>
        <w:rPr>
          <w:vertAlign w:val="subscript"/>
        </w:rPr>
        <w:t>i</w:t>
      </w:r>
      <w:r>
        <w:rPr/>
        <w:t xml:space="preserve">, </w:t>
      </w:r>
      <w:r>
        <w:rPr>
          <w:rFonts w:eastAsia="Symbol" w:cs="Symbol" w:ascii="Symbol" w:hAnsi="Symbol"/>
        </w:rPr>
        <w:sym w:font="Symbol" w:char="f065"/>
      </w:r>
      <w:r>
        <w:rPr>
          <w:vertAlign w:val="subscript"/>
        </w:rPr>
        <w:t>j 1</w:t>
      </w:r>
      <w:r>
        <w:rPr/>
        <w:t>) = Var</w:t>
      </w:r>
      <w:r>
        <w:rPr>
          <w:vertAlign w:val="subscript"/>
        </w:rPr>
        <w:t>j 1</w:t>
      </w:r>
      <w:r>
        <w:rPr/>
        <w:t xml:space="preserve"> </w:t>
      </w:r>
      <w:r>
        <w:rPr>
          <w:rFonts w:eastAsia="Symbol" w:cs="Symbol" w:ascii="Symbol" w:hAnsi="Symbol"/>
        </w:rPr>
        <w:sym w:font="Symbol" w:char="f050"/>
      </w:r>
      <w:r>
        <w:rPr>
          <w:vertAlign w:val="subscript"/>
        </w:rPr>
        <w:t>k=j+1,…,i</w:t>
      </w:r>
      <w:r>
        <w:rPr/>
        <w:t xml:space="preserve"> </w:t>
      </w:r>
      <w:r>
        <w:rPr>
          <w:rFonts w:eastAsia="Symbol" w:cs="Symbol" w:ascii="Symbol" w:hAnsi="Symbol"/>
        </w:rPr>
        <w:sym w:font="Symbol" w:char="f062"/>
      </w:r>
      <w:r>
        <w:rPr>
          <w:vertAlign w:val="subscript"/>
        </w:rPr>
        <w:t>k</w:t>
      </w:r>
      <w:r>
        <w:rPr/>
        <w:t xml:space="preserve"> = Var</w:t>
      </w:r>
      <w:r>
        <w:rPr>
          <w:vertAlign w:val="subscript"/>
        </w:rPr>
        <w:t>1 1</w:t>
      </w:r>
      <w:r>
        <w:rPr/>
        <w:t xml:space="preserve"> </w:t>
      </w:r>
      <w:r>
        <w:rPr>
          <w:rFonts w:eastAsia="Symbol" w:cs="Symbol" w:ascii="Symbol" w:hAnsi="Symbol"/>
        </w:rPr>
        <w:sym w:font="Symbol" w:char="f050"/>
      </w:r>
      <w:r>
        <w:rPr>
          <w:vertAlign w:val="subscript"/>
        </w:rPr>
        <w:t>k=2,…,j</w:t>
      </w:r>
      <w:r>
        <w:rPr/>
        <w:t xml:space="preserve"> </w:t>
      </w:r>
      <w:r>
        <w:rPr>
          <w:rFonts w:eastAsia="Symbol" w:cs="Symbol" w:ascii="Symbol" w:hAnsi="Symbol"/>
        </w:rPr>
        <w:sym w:font="Symbol" w:char="f062"/>
      </w:r>
      <w:r>
        <w:rPr>
          <w:vertAlign w:val="subscript"/>
        </w:rPr>
        <w:t>k</w:t>
      </w:r>
      <w:r>
        <w:rPr>
          <w:vertAlign w:val="superscript"/>
        </w:rPr>
        <w:t>2</w:t>
      </w:r>
      <w:r>
        <w:rPr/>
        <w:t>/R</w:t>
      </w:r>
      <w:r>
        <w:rPr>
          <w:vertAlign w:val="subscript"/>
        </w:rPr>
        <w:t>k</w:t>
      </w:r>
      <w:r>
        <w:rPr>
          <w:vertAlign w:val="superscript"/>
        </w:rPr>
        <w:t>2</w:t>
      </w:r>
      <w:r>
        <w:rPr/>
        <w:t xml:space="preserve"> </w:t>
      </w:r>
      <w:r>
        <w:rPr>
          <w:rFonts w:eastAsia="Symbol" w:cs="Symbol" w:ascii="Symbol" w:hAnsi="Symbol"/>
        </w:rPr>
        <w:sym w:font="Symbol" w:char="f050"/>
      </w:r>
      <w:r>
        <w:rPr>
          <w:vertAlign w:val="subscript"/>
        </w:rPr>
        <w:t>k=j+1,…,i</w:t>
      </w:r>
      <w:r>
        <w:rPr/>
        <w:t xml:space="preserve"> </w:t>
      </w:r>
      <w:r>
        <w:rPr>
          <w:rFonts w:eastAsia="Symbol" w:cs="Symbol" w:ascii="Symbol" w:hAnsi="Symbol"/>
        </w:rPr>
        <w:sym w:font="Symbol" w:char="f062"/>
      </w:r>
      <w:r>
        <w:rPr>
          <w:vertAlign w:val="subscript"/>
        </w:rPr>
        <w:t>k</w:t>
      </w:r>
      <w:r>
        <w:rPr/>
        <w:t>,</w:t>
      </w:r>
    </w:p>
    <w:p>
      <w:pPr>
        <w:pStyle w:val="BodyTextIndent"/>
        <w:rPr/>
      </w:pPr>
      <w:r>
        <w:rPr/>
        <w:t>Cov(r</w:t>
      </w:r>
      <w:r>
        <w:rPr>
          <w:vertAlign w:val="subscript"/>
        </w:rPr>
        <w:t>i 2</w:t>
      </w:r>
      <w:r>
        <w:rPr/>
        <w:t>, r</w:t>
      </w:r>
      <w:r>
        <w:rPr>
          <w:vertAlign w:val="subscript"/>
        </w:rPr>
        <w:t>j 2</w:t>
      </w:r>
      <w:r>
        <w:rPr/>
        <w:t>) = Cov(</w:t>
      </w:r>
      <w:r>
        <w:rPr>
          <w:rFonts w:eastAsia="Symbol" w:cs="Symbol" w:ascii="Symbol" w:hAnsi="Symbol"/>
        </w:rPr>
        <w:sym w:font="Symbol" w:char="f065"/>
      </w:r>
      <w:r>
        <w:rPr>
          <w:vertAlign w:val="subscript"/>
        </w:rPr>
        <w:t>j 2</w:t>
      </w:r>
      <w:r>
        <w:rPr>
          <w:rFonts w:eastAsia="Symbol" w:cs="Symbol" w:ascii="Symbol" w:hAnsi="Symbol"/>
        </w:rPr>
        <w:sym w:font="Symbol" w:char="f062"/>
      </w:r>
      <w:r>
        <w:rPr>
          <w:vertAlign w:val="subscript"/>
        </w:rPr>
        <w:t>j</w:t>
      </w:r>
      <w:r>
        <w:rPr/>
        <w:t>…</w:t>
      </w:r>
      <w:r>
        <w:rPr>
          <w:rFonts w:eastAsia="Symbol" w:cs="Symbol" w:ascii="Symbol" w:hAnsi="Symbol"/>
        </w:rPr>
        <w:sym w:font="Symbol" w:char="f062"/>
      </w:r>
      <w:r>
        <w:rPr>
          <w:vertAlign w:val="subscript"/>
        </w:rPr>
        <w:t>i-1</w:t>
      </w:r>
      <w:r>
        <w:rPr/>
        <w:t xml:space="preserve">, </w:t>
      </w:r>
      <w:r>
        <w:rPr>
          <w:rFonts w:eastAsia="Symbol" w:cs="Symbol" w:ascii="Symbol" w:hAnsi="Symbol"/>
        </w:rPr>
        <w:sym w:font="Symbol" w:char="f065"/>
      </w:r>
      <w:r>
        <w:rPr>
          <w:vertAlign w:val="subscript"/>
        </w:rPr>
        <w:t>j 2</w:t>
      </w:r>
      <w:r>
        <w:rPr/>
        <w:t>) = Var</w:t>
      </w:r>
      <w:r>
        <w:rPr>
          <w:vertAlign w:val="subscript"/>
        </w:rPr>
        <w:t>j 2</w:t>
      </w:r>
      <w:r>
        <w:rPr/>
        <w:t xml:space="preserve"> </w:t>
      </w:r>
      <w:r>
        <w:rPr>
          <w:rFonts w:eastAsia="Symbol" w:cs="Symbol" w:ascii="Symbol" w:hAnsi="Symbol"/>
        </w:rPr>
        <w:sym w:font="Symbol" w:char="f050"/>
      </w:r>
      <w:r>
        <w:rPr>
          <w:vertAlign w:val="subscript"/>
        </w:rPr>
        <w:t>k=j,…,i-1</w:t>
      </w:r>
      <w:r>
        <w:rPr/>
        <w:t xml:space="preserve"> </w:t>
      </w:r>
      <w:r>
        <w:rPr>
          <w:rFonts w:eastAsia="Symbol" w:cs="Symbol" w:ascii="Symbol" w:hAnsi="Symbol"/>
        </w:rPr>
        <w:sym w:font="Symbol" w:char="f062"/>
      </w:r>
      <w:r>
        <w:rPr>
          <w:vertAlign w:val="subscript"/>
        </w:rPr>
        <w:t>k</w:t>
      </w:r>
      <w:r>
        <w:rPr/>
        <w:t xml:space="preserve"> = Var</w:t>
      </w:r>
      <w:r>
        <w:rPr>
          <w:vertAlign w:val="subscript"/>
        </w:rPr>
        <w:t>1 2</w:t>
      </w:r>
      <w:r>
        <w:rPr/>
        <w:t xml:space="preserve"> </w:t>
      </w:r>
      <w:r>
        <w:rPr>
          <w:rFonts w:eastAsia="Symbol" w:cs="Symbol" w:ascii="Symbol" w:hAnsi="Symbol"/>
        </w:rPr>
        <w:sym w:font="Symbol" w:char="f050"/>
      </w:r>
      <w:r>
        <w:rPr>
          <w:vertAlign w:val="subscript"/>
        </w:rPr>
        <w:t>k=2,…,j-1</w:t>
      </w:r>
      <w:r>
        <w:rPr/>
        <w:t xml:space="preserve"> </w:t>
      </w:r>
      <w:r>
        <w:rPr>
          <w:rFonts w:eastAsia="Symbol" w:cs="Symbol" w:ascii="Symbol" w:hAnsi="Symbol"/>
        </w:rPr>
        <w:sym w:font="Symbol" w:char="f062"/>
      </w:r>
      <w:r>
        <w:rPr>
          <w:vertAlign w:val="subscript"/>
        </w:rPr>
        <w:t>k</w:t>
      </w:r>
      <w:r>
        <w:rPr>
          <w:vertAlign w:val="superscript"/>
        </w:rPr>
        <w:t>2</w:t>
      </w:r>
      <w:r>
        <w:rPr/>
        <w:t>/R</w:t>
      </w:r>
      <w:r>
        <w:rPr>
          <w:vertAlign w:val="subscript"/>
        </w:rPr>
        <w:t>k</w:t>
      </w:r>
      <w:r>
        <w:rPr>
          <w:vertAlign w:val="superscript"/>
        </w:rPr>
        <w:t>2</w:t>
      </w:r>
      <w:r>
        <w:rPr/>
        <w:t xml:space="preserve"> </w:t>
      </w:r>
      <w:r>
        <w:rPr>
          <w:rFonts w:eastAsia="Symbol" w:cs="Symbol" w:ascii="Symbol" w:hAnsi="Symbol"/>
        </w:rPr>
        <w:sym w:font="Symbol" w:char="f050"/>
      </w:r>
      <w:r>
        <w:rPr>
          <w:vertAlign w:val="subscript"/>
        </w:rPr>
        <w:t>k=j,…,i-1</w:t>
      </w:r>
      <w:r>
        <w:rPr/>
        <w:t xml:space="preserve"> </w:t>
      </w:r>
      <w:r>
        <w:rPr>
          <w:rFonts w:eastAsia="Symbol" w:cs="Symbol" w:ascii="Symbol" w:hAnsi="Symbol"/>
        </w:rPr>
        <w:sym w:font="Symbol" w:char="f062"/>
      </w:r>
      <w:r>
        <w:rPr>
          <w:vertAlign w:val="subscript"/>
        </w:rPr>
        <w:t>k</w:t>
      </w:r>
      <w:r>
        <w:rPr/>
        <w:t>,</w:t>
      </w:r>
    </w:p>
    <w:p>
      <w:pPr>
        <w:pStyle w:val="BodyTextIndent"/>
        <w:rPr/>
      </w:pPr>
      <w:r>
        <w:rPr/>
        <w:t>…</w:t>
      </w:r>
    </w:p>
    <w:p>
      <w:pPr>
        <w:pStyle w:val="BodyTextIndent"/>
        <w:rPr/>
      </w:pPr>
      <w:r>
        <w:rPr/>
        <w:t>Cov(r</w:t>
      </w:r>
      <w:r>
        <w:rPr>
          <w:vertAlign w:val="subscript"/>
        </w:rPr>
        <w:t>i j-1</w:t>
      </w:r>
      <w:r>
        <w:rPr/>
        <w:t>, r</w:t>
      </w:r>
      <w:r>
        <w:rPr>
          <w:vertAlign w:val="subscript"/>
        </w:rPr>
        <w:t>j j-1</w:t>
      </w:r>
      <w:r>
        <w:rPr/>
        <w:t>) = Cov(</w:t>
      </w:r>
      <w:r>
        <w:rPr>
          <w:rFonts w:eastAsia="Symbol" w:cs="Symbol" w:ascii="Symbol" w:hAnsi="Symbol"/>
        </w:rPr>
        <w:sym w:font="Symbol" w:char="f065"/>
      </w:r>
      <w:r>
        <w:rPr>
          <w:vertAlign w:val="subscript"/>
        </w:rPr>
        <w:t>j j-1</w:t>
      </w:r>
      <w:r>
        <w:rPr>
          <w:rFonts w:eastAsia="Symbol" w:cs="Symbol" w:ascii="Symbol" w:hAnsi="Symbol"/>
        </w:rPr>
        <w:sym w:font="Symbol" w:char="f062"/>
      </w:r>
      <w:r>
        <w:rPr>
          <w:vertAlign w:val="subscript"/>
        </w:rPr>
        <w:t>3</w:t>
      </w:r>
      <w:r>
        <w:rPr/>
        <w:t>…</w:t>
      </w:r>
      <w:r>
        <w:rPr>
          <w:rFonts w:eastAsia="Symbol" w:cs="Symbol" w:ascii="Symbol" w:hAnsi="Symbol"/>
        </w:rPr>
        <w:sym w:font="Symbol" w:char="f062"/>
      </w:r>
      <w:r>
        <w:rPr>
          <w:vertAlign w:val="subscript"/>
        </w:rPr>
        <w:t>i-j+2</w:t>
      </w:r>
      <w:r>
        <w:rPr/>
        <w:t xml:space="preserve">, </w:t>
      </w:r>
      <w:r>
        <w:rPr>
          <w:rFonts w:eastAsia="Symbol" w:cs="Symbol" w:ascii="Symbol" w:hAnsi="Symbol"/>
        </w:rPr>
        <w:sym w:font="Symbol" w:char="f065"/>
      </w:r>
      <w:r>
        <w:rPr>
          <w:vertAlign w:val="subscript"/>
        </w:rPr>
        <w:t>j j-1</w:t>
      </w:r>
      <w:r>
        <w:rPr/>
        <w:t>) = Var</w:t>
      </w:r>
      <w:r>
        <w:rPr>
          <w:vertAlign w:val="subscript"/>
        </w:rPr>
        <w:t>j j-1</w:t>
      </w:r>
      <w:r>
        <w:rPr/>
        <w:t xml:space="preserve"> </w:t>
      </w:r>
      <w:r>
        <w:rPr>
          <w:rFonts w:eastAsia="Symbol" w:cs="Symbol" w:ascii="Symbol" w:hAnsi="Symbol"/>
        </w:rPr>
        <w:sym w:font="Symbol" w:char="f050"/>
      </w:r>
      <w:r>
        <w:rPr>
          <w:vertAlign w:val="subscript"/>
        </w:rPr>
        <w:t>k=3,…,i-j+2</w:t>
      </w:r>
      <w:r>
        <w:rPr/>
        <w:t xml:space="preserve"> </w:t>
      </w:r>
      <w:r>
        <w:rPr>
          <w:rFonts w:eastAsia="Symbol" w:cs="Symbol" w:ascii="Symbol" w:hAnsi="Symbol"/>
        </w:rPr>
        <w:sym w:font="Symbol" w:char="f062"/>
      </w:r>
      <w:r>
        <w:rPr>
          <w:vertAlign w:val="subscript"/>
        </w:rPr>
        <w:t>k</w:t>
      </w:r>
      <w:r>
        <w:rPr/>
        <w:t xml:space="preserve"> = Var</w:t>
      </w:r>
      <w:r>
        <w:rPr>
          <w:vertAlign w:val="subscript"/>
        </w:rPr>
        <w:t>1 j-1</w:t>
      </w:r>
      <w:r>
        <w:rPr/>
        <w:t xml:space="preserve"> </w:t>
      </w:r>
      <w:r>
        <w:rPr>
          <w:rFonts w:eastAsia="Symbol" w:cs="Symbol" w:ascii="Symbol" w:hAnsi="Symbol"/>
        </w:rPr>
        <w:sym w:font="Symbol" w:char="f062"/>
      </w:r>
      <w:r>
        <w:rPr>
          <w:vertAlign w:val="subscript"/>
        </w:rPr>
        <w:t>2</w:t>
      </w:r>
      <w:r>
        <w:rPr>
          <w:vertAlign w:val="superscript"/>
        </w:rPr>
        <w:t>2</w:t>
      </w:r>
      <w:r>
        <w:rPr/>
        <w:t>/R</w:t>
      </w:r>
      <w:r>
        <w:rPr>
          <w:vertAlign w:val="subscript"/>
        </w:rPr>
        <w:t>2</w:t>
      </w:r>
      <w:r>
        <w:rPr>
          <w:vertAlign w:val="superscript"/>
        </w:rPr>
        <w:t>2</w:t>
      </w:r>
      <w:r>
        <w:rPr/>
        <w:t xml:space="preserve"> </w:t>
      </w:r>
      <w:r>
        <w:rPr>
          <w:rFonts w:eastAsia="Symbol" w:cs="Symbol" w:ascii="Symbol" w:hAnsi="Symbol"/>
        </w:rPr>
        <w:sym w:font="Symbol" w:char="f050"/>
      </w:r>
      <w:r>
        <w:rPr>
          <w:vertAlign w:val="subscript"/>
        </w:rPr>
        <w:t>k=3,…,i-j+2</w:t>
      </w:r>
      <w:r>
        <w:rPr/>
        <w:t xml:space="preserve"> </w:t>
      </w:r>
      <w:r>
        <w:rPr>
          <w:rFonts w:eastAsia="Symbol" w:cs="Symbol" w:ascii="Symbol" w:hAnsi="Symbol"/>
        </w:rPr>
        <w:sym w:font="Symbol" w:char="f062"/>
      </w:r>
      <w:r>
        <w:rPr>
          <w:vertAlign w:val="subscript"/>
        </w:rPr>
        <w:t>k</w:t>
      </w:r>
      <w:r>
        <w:rPr/>
        <w:t>,</w:t>
      </w:r>
    </w:p>
    <w:p>
      <w:pPr>
        <w:pStyle w:val="BodyTextIndent"/>
        <w:rPr/>
      </w:pPr>
      <w:r>
        <w:rPr/>
        <w:t>Cov(r</w:t>
      </w:r>
      <w:r>
        <w:rPr>
          <w:vertAlign w:val="subscript"/>
        </w:rPr>
        <w:t>i j</w:t>
      </w:r>
      <w:r>
        <w:rPr/>
        <w:t>, r</w:t>
      </w:r>
      <w:r>
        <w:rPr>
          <w:vertAlign w:val="subscript"/>
        </w:rPr>
        <w:t>j j</w:t>
      </w:r>
      <w:r>
        <w:rPr/>
        <w:t>) = Cov(</w:t>
      </w:r>
      <w:r>
        <w:rPr>
          <w:rFonts w:eastAsia="Symbol" w:cs="Symbol" w:ascii="Symbol" w:hAnsi="Symbol"/>
        </w:rPr>
        <w:sym w:font="Symbol" w:char="f065"/>
      </w:r>
      <w:r>
        <w:rPr>
          <w:vertAlign w:val="subscript"/>
        </w:rPr>
        <w:t>j j</w:t>
      </w:r>
      <w:r>
        <w:rPr>
          <w:rFonts w:eastAsia="Symbol" w:cs="Symbol" w:ascii="Symbol" w:hAnsi="Symbol"/>
        </w:rPr>
        <w:sym w:font="Symbol" w:char="f062"/>
      </w:r>
      <w:r>
        <w:rPr>
          <w:vertAlign w:val="subscript"/>
        </w:rPr>
        <w:t>2</w:t>
      </w:r>
      <w:r>
        <w:rPr/>
        <w:t>…</w:t>
      </w:r>
      <w:r>
        <w:rPr>
          <w:rFonts w:eastAsia="Symbol" w:cs="Symbol" w:ascii="Symbol" w:hAnsi="Symbol"/>
        </w:rPr>
        <w:sym w:font="Symbol" w:char="f062"/>
      </w:r>
      <w:r>
        <w:rPr>
          <w:vertAlign w:val="subscript"/>
        </w:rPr>
        <w:t>i-j+1</w:t>
      </w:r>
      <w:r>
        <w:rPr/>
        <w:t xml:space="preserve">, </w:t>
      </w:r>
      <w:r>
        <w:rPr>
          <w:rFonts w:eastAsia="Symbol" w:cs="Symbol" w:ascii="Symbol" w:hAnsi="Symbol"/>
        </w:rPr>
        <w:sym w:font="Symbol" w:char="f065"/>
      </w:r>
      <w:r>
        <w:rPr>
          <w:vertAlign w:val="subscript"/>
        </w:rPr>
        <w:t>j j</w:t>
      </w:r>
      <w:r>
        <w:rPr/>
        <w:t>) = Var</w:t>
      </w:r>
      <w:r>
        <w:rPr>
          <w:vertAlign w:val="subscript"/>
        </w:rPr>
        <w:t>j j</w:t>
      </w:r>
      <w:r>
        <w:rPr/>
        <w:t xml:space="preserve"> </w:t>
      </w:r>
      <w:r>
        <w:rPr>
          <w:rFonts w:eastAsia="Symbol" w:cs="Symbol" w:ascii="Symbol" w:hAnsi="Symbol"/>
        </w:rPr>
        <w:sym w:font="Symbol" w:char="f050"/>
      </w:r>
      <w:r>
        <w:rPr>
          <w:vertAlign w:val="subscript"/>
        </w:rPr>
        <w:t>k=2,…,i-j+1</w:t>
      </w:r>
      <w:r>
        <w:rPr/>
        <w:t xml:space="preserve"> </w:t>
      </w:r>
      <w:r>
        <w:rPr>
          <w:rFonts w:eastAsia="Symbol" w:cs="Symbol" w:ascii="Symbol" w:hAnsi="Symbol"/>
        </w:rPr>
        <w:sym w:font="Symbol" w:char="f062"/>
      </w:r>
      <w:r>
        <w:rPr>
          <w:vertAlign w:val="subscript"/>
        </w:rPr>
        <w:t>k</w:t>
      </w:r>
      <w:r>
        <w:rPr/>
        <w:t xml:space="preserve"> = Var</w:t>
      </w:r>
      <w:r>
        <w:rPr>
          <w:vertAlign w:val="subscript"/>
        </w:rPr>
        <w:t>1 j</w:t>
      </w:r>
      <w:r>
        <w:rPr/>
        <w:t xml:space="preserve"> </w:t>
      </w:r>
      <w:r>
        <w:rPr>
          <w:rFonts w:eastAsia="Symbol" w:cs="Symbol" w:ascii="Symbol" w:hAnsi="Symbol"/>
        </w:rPr>
        <w:sym w:font="Symbol" w:char="f050"/>
      </w:r>
      <w:r>
        <w:rPr>
          <w:vertAlign w:val="subscript"/>
        </w:rPr>
        <w:t>k=2,…,i-j+1</w:t>
      </w:r>
      <w:r>
        <w:rPr/>
        <w:t xml:space="preserve"> </w:t>
      </w:r>
      <w:r>
        <w:rPr>
          <w:rFonts w:eastAsia="Symbol" w:cs="Symbol" w:ascii="Symbol" w:hAnsi="Symbol"/>
        </w:rPr>
        <w:sym w:font="Symbol" w:char="f062"/>
      </w:r>
      <w:r>
        <w:rPr>
          <w:vertAlign w:val="subscript"/>
        </w:rPr>
        <w:t>k</w:t>
      </w:r>
      <w:r>
        <w:rPr/>
        <w:t>,</w:t>
      </w:r>
    </w:p>
    <w:p>
      <w:pPr>
        <w:pStyle w:val="BodyTextIndent"/>
        <w:rPr/>
      </w:pPr>
      <w:r>
        <w:rPr/>
        <w:t>The general formula is:</w:t>
      </w:r>
    </w:p>
    <w:p>
      <w:pPr>
        <w:pStyle w:val="BodyTextIndent"/>
        <w:rPr/>
      </w:pPr>
      <w:r>
        <w:rPr>
          <w:b/>
        </w:rPr>
        <w:t>Cov(r</w:t>
      </w:r>
      <w:r>
        <w:rPr>
          <w:b/>
          <w:vertAlign w:val="subscript"/>
        </w:rPr>
        <w:t>i m</w:t>
      </w:r>
      <w:r>
        <w:rPr>
          <w:b/>
        </w:rPr>
        <w:t>, r</w:t>
      </w:r>
      <w:r>
        <w:rPr>
          <w:b/>
          <w:vertAlign w:val="subscript"/>
        </w:rPr>
        <w:t>j m</w:t>
      </w:r>
      <w:r>
        <w:rPr>
          <w:b/>
        </w:rPr>
        <w:t>) = Var</w:t>
      </w:r>
      <w:r>
        <w:rPr>
          <w:b/>
          <w:vertAlign w:val="subscript"/>
        </w:rPr>
        <w:t>1 m</w:t>
      </w:r>
      <w:r>
        <w:rPr>
          <w:b/>
        </w:rPr>
        <w:t xml:space="preserve"> </w:t>
      </w:r>
      <w:r>
        <w:rPr>
          <w:rFonts w:eastAsia="Symbol" w:cs="Symbol" w:ascii="Symbol" w:hAnsi="Symbol"/>
          <w:b/>
        </w:rPr>
        <w:sym w:font="Symbol" w:char="f050"/>
      </w:r>
      <w:r>
        <w:rPr>
          <w:b/>
          <w:vertAlign w:val="subscript"/>
        </w:rPr>
        <w:t>k=2,…,j-m+1</w:t>
      </w:r>
      <w:r>
        <w:rPr>
          <w:b/>
        </w:rPr>
        <w:t xml:space="preserve"> </w:t>
      </w:r>
      <w:r>
        <w:rPr>
          <w:rFonts w:eastAsia="Symbol" w:cs="Symbol" w:ascii="Symbol" w:hAnsi="Symbol"/>
          <w:b/>
        </w:rPr>
        <w:sym w:font="Symbol" w:char="f062"/>
      </w:r>
      <w:r>
        <w:rPr>
          <w:b/>
          <w:vertAlign w:val="subscript"/>
        </w:rPr>
        <w:t>k</w:t>
      </w:r>
      <w:r>
        <w:rPr>
          <w:b/>
          <w:vertAlign w:val="superscript"/>
        </w:rPr>
        <w:t>2</w:t>
      </w:r>
      <w:r>
        <w:rPr>
          <w:b/>
        </w:rPr>
        <w:t>/R</w:t>
      </w:r>
      <w:r>
        <w:rPr>
          <w:b/>
          <w:vertAlign w:val="subscript"/>
        </w:rPr>
        <w:t>k</w:t>
      </w:r>
      <w:r>
        <w:rPr>
          <w:b/>
          <w:vertAlign w:val="superscript"/>
        </w:rPr>
        <w:t>2</w:t>
      </w:r>
      <w:r>
        <w:rPr>
          <w:b/>
        </w:rPr>
        <w:t xml:space="preserve"> </w:t>
      </w:r>
      <w:r>
        <w:rPr>
          <w:rFonts w:eastAsia="Symbol" w:cs="Symbol" w:ascii="Symbol" w:hAnsi="Symbol"/>
          <w:b/>
        </w:rPr>
        <w:sym w:font="Symbol" w:char="f050"/>
      </w:r>
      <w:r>
        <w:rPr>
          <w:b/>
          <w:vertAlign w:val="subscript"/>
        </w:rPr>
        <w:t>k=j-m+2,…,i-m+1</w:t>
      </w:r>
      <w:r>
        <w:rPr>
          <w:b/>
        </w:rPr>
        <w:t xml:space="preserve"> </w:t>
      </w:r>
      <w:r>
        <w:rPr>
          <w:rFonts w:eastAsia="Symbol" w:cs="Symbol" w:ascii="Symbol" w:hAnsi="Symbol"/>
          <w:b/>
        </w:rPr>
        <w:sym w:font="Symbol" w:char="f062"/>
      </w:r>
      <w:r>
        <w:rPr>
          <w:b/>
          <w:vertAlign w:val="subscript"/>
        </w:rPr>
        <w:t>k</w:t>
      </w:r>
      <w:r>
        <w:rPr/>
        <w:t>,</w:t>
      </w:r>
    </w:p>
    <w:p>
      <w:pPr>
        <w:pStyle w:val="BodyTextIndent"/>
        <w:rPr/>
      </w:pPr>
      <w:r>
        <w:rPr/>
        <w:t>Based on this result, one can also derive the covariance of a given pair over a given period:</w:t>
      </w:r>
    </w:p>
    <w:p>
      <w:pPr>
        <w:pStyle w:val="BodyTextIndent"/>
        <w:rPr/>
      </w:pPr>
      <w:r>
        <w:rPr>
          <w:b/>
        </w:rPr>
        <w:t>Cov(r</w:t>
      </w:r>
      <w:r>
        <w:rPr>
          <w:b/>
          <w:vertAlign w:val="subscript"/>
        </w:rPr>
        <w:t>i</w:t>
      </w:r>
      <w:r>
        <w:rPr>
          <w:b/>
        </w:rPr>
        <w:t>, r</w:t>
      </w:r>
      <w:r>
        <w:rPr>
          <w:b/>
          <w:vertAlign w:val="subscript"/>
        </w:rPr>
        <w:t>j</w:t>
      </w:r>
      <w:r>
        <w:rPr>
          <w:b/>
        </w:rPr>
        <w:t xml:space="preserve">, over “1,..,t”) = </w:t>
      </w:r>
      <w:r>
        <w:rPr>
          <w:rFonts w:eastAsia="Symbol" w:cs="Symbol" w:ascii="Symbol" w:hAnsi="Symbol"/>
          <w:b/>
        </w:rPr>
        <w:sym w:font="Symbol" w:char="f053"/>
      </w:r>
      <w:r>
        <w:rPr>
          <w:b/>
          <w:vertAlign w:val="subscript"/>
        </w:rPr>
        <w:t>k=1,…,t</w:t>
      </w:r>
      <w:r>
        <w:rPr>
          <w:b/>
        </w:rPr>
        <w:t xml:space="preserve"> Cov(r</w:t>
      </w:r>
      <w:r>
        <w:rPr>
          <w:b/>
          <w:vertAlign w:val="subscript"/>
        </w:rPr>
        <w:t>i k</w:t>
      </w:r>
      <w:r>
        <w:rPr>
          <w:b/>
        </w:rPr>
        <w:t>, r</w:t>
      </w:r>
      <w:r>
        <w:rPr>
          <w:b/>
          <w:vertAlign w:val="subscript"/>
        </w:rPr>
        <w:t>j k</w:t>
      </w:r>
      <w:r>
        <w:rPr>
          <w:b/>
        </w:rPr>
        <w:t>)</w:t>
      </w:r>
      <w:r>
        <w:rPr/>
        <w:t>,</w:t>
      </w:r>
    </w:p>
    <w:p>
      <w:pPr>
        <w:pStyle w:val="BodyTextIndent"/>
        <w:rPr/>
      </w:pPr>
      <w:r>
        <w:rPr/>
        <w:t>And then the effective correlation:</w:t>
      </w:r>
    </w:p>
    <w:p>
      <w:pPr>
        <w:pStyle w:val="BodyTextIndent"/>
        <w:rPr/>
      </w:pPr>
      <w:r>
        <w:rPr>
          <w:b/>
        </w:rPr>
        <w:t>Corr(r</w:t>
      </w:r>
      <w:r>
        <w:rPr>
          <w:b/>
          <w:vertAlign w:val="subscript"/>
        </w:rPr>
        <w:t>i</w:t>
      </w:r>
      <w:r>
        <w:rPr>
          <w:b/>
        </w:rPr>
        <w:t>, r</w:t>
      </w:r>
      <w:r>
        <w:rPr>
          <w:b/>
          <w:vertAlign w:val="subscript"/>
        </w:rPr>
        <w:t>j</w:t>
      </w:r>
      <w:r>
        <w:rPr>
          <w:b/>
        </w:rPr>
        <w:t>, over “1,..,t”) = Cov(r</w:t>
      </w:r>
      <w:r>
        <w:rPr>
          <w:b/>
          <w:vertAlign w:val="subscript"/>
        </w:rPr>
        <w:t>i</w:t>
      </w:r>
      <w:r>
        <w:rPr>
          <w:b/>
        </w:rPr>
        <w:t>, r</w:t>
      </w:r>
      <w:r>
        <w:rPr>
          <w:b/>
          <w:vertAlign w:val="subscript"/>
        </w:rPr>
        <w:t>j</w:t>
      </w:r>
      <w:r>
        <w:rPr>
          <w:b/>
        </w:rPr>
        <w:t xml:space="preserve">, over “1,..,t”) / </w:t>
      </w:r>
      <w:r>
        <w:rPr>
          <w:rFonts w:eastAsia="Symbol" w:cs="Symbol" w:ascii="Symbol" w:hAnsi="Symbol"/>
          <w:b/>
        </w:rPr>
        <w:sym w:font="Symbol" w:char="f073"/>
      </w:r>
      <w:r>
        <w:rPr>
          <w:b/>
          <w:vertAlign w:val="subscript"/>
        </w:rPr>
        <w:t>i</w:t>
      </w:r>
      <w:r>
        <w:rPr>
          <w:b/>
        </w:rPr>
        <w:t>(over “1,…,k”)</w:t>
      </w:r>
      <w:r>
        <w:rPr>
          <w:rFonts w:eastAsia="Symbol" w:cs="Symbol" w:ascii="Symbol" w:hAnsi="Symbol"/>
          <w:b/>
        </w:rPr>
        <w:sym w:font="Symbol" w:char="f073"/>
      </w:r>
      <w:r>
        <w:rPr>
          <w:b/>
          <w:vertAlign w:val="subscript"/>
        </w:rPr>
        <w:t>j</w:t>
      </w:r>
      <w:r>
        <w:rPr>
          <w:b/>
        </w:rPr>
        <w:t>(over “1,…,k”)</w:t>
      </w:r>
    </w:p>
    <w:p>
      <w:pPr>
        <w:pStyle w:val="BodyTextIndent"/>
        <w:rPr/>
      </w:pPr>
      <w:r>
        <w:rPr/>
        <w:t>Now we have all volatilities and correlations that can be used to price various exotic options.</w:t>
      </w:r>
    </w:p>
    <w:p>
      <w:pPr>
        <w:pStyle w:val="BodyTextIndent"/>
        <w:rPr/>
      </w:pPr>
      <w:r>
        <w:rPr/>
      </w:r>
    </w:p>
    <w:p>
      <w:pPr>
        <w:pStyle w:val="Heading"/>
        <w:rPr/>
      </w:pPr>
      <w:r>
        <w:rPr/>
        <w:t>Implementation</w:t>
      </w:r>
    </w:p>
    <w:p>
      <w:pPr>
        <w:pStyle w:val="BodyTextIndent"/>
        <w:rPr/>
      </w:pPr>
      <w:r>
        <w:rPr/>
        <w:t xml:space="preserve">To forecast volatilities and correlations and price exotic options, one has to make some assumptions about the regression parameters </w:t>
      </w:r>
      <w:r>
        <w:rPr>
          <w:rFonts w:eastAsia="Symbol" w:cs="Symbol" w:ascii="Symbol" w:hAnsi="Symbol"/>
        </w:rPr>
        <w:sym w:font="Symbol" w:char="f062"/>
      </w:r>
      <w:r>
        <w:rPr>
          <w:vertAlign w:val="subscript"/>
        </w:rPr>
        <w:t>k</w:t>
      </w:r>
      <w:r>
        <w:rPr/>
        <w:t xml:space="preserve"> and R</w:t>
      </w:r>
      <w:r>
        <w:rPr>
          <w:vertAlign w:val="subscript"/>
        </w:rPr>
        <w:t>k</w:t>
      </w:r>
      <w:r>
        <w:rPr>
          <w:vertAlign w:val="superscript"/>
        </w:rPr>
        <w:t>2</w:t>
      </w:r>
      <w:r>
        <w:rPr/>
        <w:t xml:space="preserve">, as well as the future prompt volatility. The trader should make a prompt volatility guess. The regression parameters can be estimated based on historical futures prices. A reasonable simplification would be to assume that both </w:t>
      </w:r>
      <w:r>
        <w:rPr>
          <w:rFonts w:eastAsia="Symbol" w:cs="Symbol" w:ascii="Symbol" w:hAnsi="Symbol"/>
        </w:rPr>
        <w:sym w:font="Symbol" w:char="f062"/>
      </w:r>
      <w:r>
        <w:rPr>
          <w:vertAlign w:val="subscript"/>
        </w:rPr>
        <w:t>k</w:t>
      </w:r>
      <w:r>
        <w:rPr/>
        <w:t xml:space="preserve"> and R</w:t>
      </w:r>
      <w:r>
        <w:rPr>
          <w:vertAlign w:val="subscript"/>
        </w:rPr>
        <w:t>k</w:t>
      </w:r>
      <w:r>
        <w:rPr>
          <w:vertAlign w:val="superscript"/>
        </w:rPr>
        <w:t>2</w:t>
      </w:r>
      <w:r>
        <w:rPr/>
        <w:t xml:space="preserve"> approach 1 at some rates as the maturity increases (this will make the model much more parsimonious and therefore easier to calibrate and work with). These rates of convergence can be adjusted to calibrate the model so that it will price correctly those exotics whose true value is known reasonably well. The spreadsheet where this methodology was implemented could actually be calibrated to achieve this.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1999-03-09T14:27:00Z</dcterms:created>
  <dc:creator>Enron</dc:creator>
  <dc:description/>
  <dc:language>en-CA</dc:language>
  <cp:lastModifiedBy>Enron</cp:lastModifiedBy>
  <cp:lastPrinted>1999-03-10T17:23:00Z</cp:lastPrinted>
  <dcterms:modified xsi:type="dcterms:W3CDTF">1999-03-18T14:09:00Z</dcterms:modified>
  <cp:revision>8</cp:revision>
  <dc:subject/>
  <dc:title>Forecasting Volatilities and Correlations for Pricing Exotic Options on Crude Oil</dc:title>
</cp:coreProperties>
</file>