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3.35pt;width:546.75pt;height:89.25pt;mso-wrap-distance-left:9.05pt;mso-wrap-distance-right:9.05pt;mso-position-horizontal-relative:text;mso-position-vertical-relative:text" filled="f" o:ole="">
            <v:imagedata r:id="rId3" o:title=""/>
          </v:shape>
          <o:OLEObject Type="Embed" ProgID="" ShapeID="ole_rId2" DrawAspect="Content" ObjectID="_780880260" r:id="rId2"/>
        </w:object>
      </w:r>
      <w:r>
        <w:rPr>
          <w:sz w:val="20"/>
        </w:rPr>
        <w:t>January 4, 2001</w:t>
      </w:r>
    </w:p>
    <w:p>
      <w:pPr>
        <w:pStyle w:val="Normal"/>
        <w:jc w:val="end"/>
        <w:rPr>
          <w:sz w:val="20"/>
        </w:rPr>
      </w:pPr>
      <w:r>
        <w:rPr>
          <w:sz w:val="20"/>
        </w:rPr>
        <w:t>Vol. 3, No. 1</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Heading1"/>
        <w:ind w:hanging="0" w:start="0"/>
        <w:rPr/>
      </w:pPr>
      <w:r>
        <w:rPr/>
        <w:t>Price, Policy and Misperception</w:t>
      </w:r>
    </w:p>
    <w:p>
      <w:pPr>
        <w:pStyle w:val="Normal"/>
        <w:jc w:val="center"/>
        <w:rPr>
          <w:sz w:val="20"/>
        </w:rPr>
      </w:pPr>
      <w:r>
        <w:rPr>
          <w:sz w:val="20"/>
        </w:rPr>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BodyText"/>
        <w:spacing w:before="0" w:after="120"/>
        <w:rPr/>
      </w:pPr>
      <w:r>
        <w:rPr/>
        <w:t xml:space="preserve">The ringing in of 2001 marks the completion of the fourth year since Pennsylvania’s electricity competition law went into effect on January 1, 1997, and the second year since Pennsylvania’s retail market was fully opened to customer choice on January 1, 1999. But nationwide, while reliability, environmental performance, and assistance for low-income customers are crucial factors, the price of power has alone become the main standard for judging the success or failure of competitive transition policies. Near hysteria about prices is yet another fallout of the California mess where rates are a daily nightmare for consumers. </w:t>
      </w:r>
    </w:p>
    <w:p>
      <w:pPr>
        <w:pStyle w:val="BodyText"/>
        <w:spacing w:before="0" w:after="120"/>
        <w:rPr/>
      </w:pPr>
      <w:r>
        <w:rPr/>
        <w:t>In an effort to broaden electricity policy discussion beyond the myopic focus on California, we note that competitive residential retail prices of electricity in Pennsylvania this New Year are considerably below what customers were paying for generation and transmission service or embedded generation on January 1, 1997. If you doubt it, compare columns B and D below. Just as interestingly, competitive prices for 100% renewable energy products are well less than what customers of Duquesne Light and PECO Energy paid for power generated from mainly coal and nuclear prior to competition (columns C and D).</w:t>
      </w:r>
    </w:p>
    <w:tbl>
      <w:tblPr>
        <w:tblW w:w="5220" w:type="dxa"/>
        <w:jc w:val="start"/>
        <w:tblInd w:w="30" w:type="dxa"/>
        <w:tblLayout w:type="fixed"/>
        <w:tblCellMar>
          <w:top w:w="0" w:type="dxa"/>
          <w:start w:w="30" w:type="dxa"/>
          <w:bottom w:w="0" w:type="dxa"/>
          <w:end w:w="30" w:type="dxa"/>
        </w:tblCellMar>
      </w:tblPr>
      <w:tblGrid>
        <w:gridCol w:w="1020"/>
        <w:gridCol w:w="1010"/>
        <w:gridCol w:w="1010"/>
        <w:gridCol w:w="1010"/>
        <w:gridCol w:w="1170"/>
      </w:tblGrid>
      <w:tr>
        <w:trPr>
          <w:trHeight w:val="500" w:hRule="exact"/>
        </w:trPr>
        <w:tc>
          <w:tcPr>
            <w:tcW w:w="5220" w:type="dxa"/>
            <w:gridSpan w:val="5"/>
            <w:tcBorders>
              <w:top w:val="single" w:sz="12" w:space="0" w:color="000000"/>
              <w:start w:val="single" w:sz="12" w:space="0" w:color="000000"/>
              <w:end w:val="single" w:sz="12" w:space="0" w:color="000000"/>
            </w:tcBorders>
            <w:vAlign w:val="center"/>
          </w:tcPr>
          <w:p>
            <w:pPr>
              <w:pStyle w:val="Normal"/>
              <w:spacing w:before="0" w:after="120"/>
              <w:jc w:val="center"/>
              <w:rPr>
                <w:b/>
                <w:color w:val="000000"/>
                <w:sz w:val="16"/>
              </w:rPr>
            </w:pPr>
            <w:r>
              <w:rPr>
                <w:b/>
                <w:color w:val="000000"/>
                <w:sz w:val="16"/>
              </w:rPr>
              <w:t>Comparison of Residential Unbundled Embedded Generation to Retail Power Prices (in cents/kWh)</w:t>
            </w:r>
          </w:p>
        </w:tc>
      </w:tr>
      <w:tr>
        <w:trPr>
          <w:trHeight w:val="800" w:hRule="exact"/>
        </w:trPr>
        <w:tc>
          <w:tcPr>
            <w:tcW w:w="1020" w:type="dxa"/>
            <w:tcBorders>
              <w:top w:val="single" w:sz="12" w:space="0" w:color="000000"/>
              <w:start w:val="single" w:sz="12" w:space="0" w:color="000000"/>
              <w:bottom w:val="single" w:sz="6" w:space="0" w:color="000000"/>
              <w:end w:val="single" w:sz="6" w:space="0" w:color="000000"/>
            </w:tcBorders>
          </w:tcPr>
          <w:p>
            <w:pPr>
              <w:pStyle w:val="Normal"/>
              <w:snapToGrid w:val="false"/>
              <w:spacing w:before="0" w:after="120"/>
              <w:jc w:val="center"/>
              <w:rPr>
                <w:b/>
                <w:color w:val="000000"/>
                <w:sz w:val="16"/>
              </w:rPr>
            </w:pPr>
            <w:r>
              <w:rPr>
                <w:b/>
                <w:color w:val="000000"/>
                <w:sz w:val="16"/>
              </w:rPr>
            </w:r>
          </w:p>
        </w:tc>
        <w:tc>
          <w:tcPr>
            <w:tcW w:w="1010" w:type="dxa"/>
            <w:tcBorders>
              <w:top w:val="single" w:sz="12" w:space="0" w:color="000000"/>
              <w:start w:val="single" w:sz="6" w:space="0" w:color="000000"/>
              <w:bottom w:val="single" w:sz="6" w:space="0" w:color="000000"/>
              <w:end w:val="single" w:sz="6" w:space="0" w:color="000000"/>
            </w:tcBorders>
          </w:tcPr>
          <w:p>
            <w:pPr>
              <w:pStyle w:val="Normal"/>
              <w:spacing w:before="0" w:after="120"/>
              <w:jc w:val="center"/>
              <w:rPr/>
            </w:pPr>
            <w:r>
              <w:rPr>
                <w:b/>
                <w:color w:val="000000"/>
                <w:sz w:val="16"/>
              </w:rPr>
              <w:t>A.</w:t>
              <w:br/>
              <w:t>2000 Shopping Credit</w:t>
            </w:r>
          </w:p>
        </w:tc>
        <w:tc>
          <w:tcPr>
            <w:tcW w:w="1010" w:type="dxa"/>
            <w:tcBorders>
              <w:top w:val="single" w:sz="12" w:space="0" w:color="000000"/>
              <w:start w:val="single" w:sz="6" w:space="0" w:color="000000"/>
              <w:bottom w:val="single" w:sz="6" w:space="0" w:color="000000"/>
              <w:end w:val="single" w:sz="6" w:space="0" w:color="000000"/>
            </w:tcBorders>
          </w:tcPr>
          <w:p>
            <w:pPr>
              <w:pStyle w:val="Normal"/>
              <w:spacing w:before="0" w:after="120"/>
              <w:jc w:val="center"/>
              <w:rPr/>
            </w:pPr>
            <w:r>
              <w:rPr>
                <w:b/>
                <w:color w:val="000000"/>
                <w:sz w:val="16"/>
              </w:rPr>
              <w:t>B.</w:t>
              <w:br/>
              <w:t>Lowest Retail</w:t>
              <w:br/>
              <w:t>Price</w:t>
            </w:r>
          </w:p>
        </w:tc>
        <w:tc>
          <w:tcPr>
            <w:tcW w:w="1010" w:type="dxa"/>
            <w:tcBorders>
              <w:top w:val="single" w:sz="12" w:space="0" w:color="000000"/>
              <w:start w:val="single" w:sz="6" w:space="0" w:color="000000"/>
              <w:bottom w:val="single" w:sz="6" w:space="0" w:color="000000"/>
              <w:end w:val="single" w:sz="6" w:space="0" w:color="000000"/>
            </w:tcBorders>
          </w:tcPr>
          <w:p>
            <w:pPr>
              <w:pStyle w:val="Normal"/>
              <w:spacing w:before="0" w:after="120"/>
              <w:jc w:val="center"/>
              <w:rPr>
                <w:b/>
                <w:color w:val="000000"/>
                <w:sz w:val="16"/>
              </w:rPr>
            </w:pPr>
            <w:r>
              <w:rPr>
                <w:b/>
                <w:color w:val="000000"/>
                <w:sz w:val="16"/>
              </w:rPr>
              <w:t>C.</w:t>
              <w:br/>
              <w:t>100% Green Power Prices</w:t>
            </w:r>
          </w:p>
        </w:tc>
        <w:tc>
          <w:tcPr>
            <w:tcW w:w="1170" w:type="dxa"/>
            <w:tcBorders>
              <w:top w:val="single" w:sz="12" w:space="0" w:color="000000"/>
              <w:start w:val="single" w:sz="6" w:space="0" w:color="000000"/>
              <w:bottom w:val="single" w:sz="6" w:space="0" w:color="000000"/>
              <w:end w:val="single" w:sz="12" w:space="0" w:color="000000"/>
            </w:tcBorders>
          </w:tcPr>
          <w:p>
            <w:pPr>
              <w:pStyle w:val="Normal"/>
              <w:spacing w:before="0" w:after="120"/>
              <w:jc w:val="center"/>
              <w:rPr/>
            </w:pPr>
            <w:r>
              <w:rPr>
                <w:b/>
                <w:color w:val="000000"/>
                <w:sz w:val="16"/>
              </w:rPr>
              <w:t>D.</w:t>
              <w:br/>
              <w:t xml:space="preserve">Embedded </w:t>
              <w:br/>
              <w:t>Generation &amp; Transmission</w:t>
            </w:r>
          </w:p>
        </w:tc>
      </w:tr>
      <w:tr>
        <w:trPr>
          <w:trHeight w:val="240" w:hRule="exact"/>
        </w:trPr>
        <w:tc>
          <w:tcPr>
            <w:tcW w:w="1020" w:type="dxa"/>
            <w:tcBorders>
              <w:top w:val="single" w:sz="6" w:space="0" w:color="000000"/>
              <w:start w:val="single" w:sz="12" w:space="0" w:color="000000"/>
              <w:bottom w:val="single" w:sz="6" w:space="0" w:color="000000"/>
              <w:end w:val="single" w:sz="6" w:space="0" w:color="000000"/>
            </w:tcBorders>
            <w:vAlign w:val="center"/>
          </w:tcPr>
          <w:p>
            <w:pPr>
              <w:pStyle w:val="Normal"/>
              <w:spacing w:before="0" w:after="120"/>
              <w:rPr>
                <w:b/>
                <w:color w:val="000000"/>
                <w:sz w:val="16"/>
              </w:rPr>
            </w:pPr>
            <w:r>
              <w:rPr>
                <w:b/>
                <w:color w:val="000000"/>
                <w:sz w:val="16"/>
              </w:rPr>
              <w:t>Duquesne</w:t>
            </w:r>
          </w:p>
        </w:tc>
        <w:tc>
          <w:tcPr>
            <w:tcW w:w="1010"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120"/>
              <w:jc w:val="center"/>
              <w:rPr>
                <w:b/>
                <w:color w:val="000000"/>
                <w:sz w:val="16"/>
              </w:rPr>
            </w:pPr>
            <w:r>
              <w:rPr>
                <w:b/>
                <w:color w:val="000000"/>
                <w:sz w:val="16"/>
              </w:rPr>
              <w:t>4.80</w:t>
            </w:r>
          </w:p>
        </w:tc>
        <w:tc>
          <w:tcPr>
            <w:tcW w:w="1010"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120"/>
              <w:jc w:val="center"/>
              <w:rPr>
                <w:b/>
                <w:color w:val="000000"/>
                <w:sz w:val="16"/>
              </w:rPr>
            </w:pPr>
            <w:r>
              <w:rPr>
                <w:b/>
                <w:color w:val="000000"/>
                <w:sz w:val="16"/>
              </w:rPr>
              <w:t>4.60</w:t>
            </w:r>
          </w:p>
        </w:tc>
        <w:tc>
          <w:tcPr>
            <w:tcW w:w="1010"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120"/>
              <w:jc w:val="center"/>
              <w:rPr>
                <w:b/>
                <w:color w:val="000000"/>
                <w:sz w:val="16"/>
              </w:rPr>
            </w:pPr>
            <w:r>
              <w:rPr>
                <w:b/>
                <w:color w:val="000000"/>
                <w:sz w:val="16"/>
              </w:rPr>
              <w:t>6.49</w:t>
            </w:r>
          </w:p>
        </w:tc>
        <w:tc>
          <w:tcPr>
            <w:tcW w:w="1170" w:type="dxa"/>
            <w:tcBorders>
              <w:top w:val="single" w:sz="6" w:space="0" w:color="000000"/>
              <w:start w:val="single" w:sz="6" w:space="0" w:color="000000"/>
              <w:bottom w:val="single" w:sz="6" w:space="0" w:color="000000"/>
              <w:end w:val="single" w:sz="12" w:space="0" w:color="000000"/>
            </w:tcBorders>
            <w:vAlign w:val="center"/>
          </w:tcPr>
          <w:p>
            <w:pPr>
              <w:pStyle w:val="Normal"/>
              <w:spacing w:before="0" w:after="120"/>
              <w:jc w:val="center"/>
              <w:rPr>
                <w:b/>
                <w:color w:val="000000"/>
                <w:sz w:val="16"/>
              </w:rPr>
            </w:pPr>
            <w:r>
              <w:rPr>
                <w:b/>
                <w:color w:val="000000"/>
                <w:sz w:val="16"/>
              </w:rPr>
              <w:t>8.75</w:t>
            </w:r>
          </w:p>
        </w:tc>
      </w:tr>
      <w:tr>
        <w:trPr>
          <w:trHeight w:val="400" w:hRule="exact"/>
        </w:trPr>
        <w:tc>
          <w:tcPr>
            <w:tcW w:w="1020" w:type="dxa"/>
            <w:tcBorders>
              <w:top w:val="single" w:sz="6" w:space="0" w:color="000000"/>
              <w:start w:val="single" w:sz="12" w:space="0" w:color="000000"/>
              <w:bottom w:val="single" w:sz="6" w:space="0" w:color="000000"/>
              <w:end w:val="single" w:sz="6" w:space="0" w:color="000000"/>
            </w:tcBorders>
            <w:vAlign w:val="center"/>
          </w:tcPr>
          <w:p>
            <w:pPr>
              <w:pStyle w:val="Normal"/>
              <w:spacing w:before="0" w:after="120"/>
              <w:rPr>
                <w:b/>
                <w:color w:val="000000"/>
                <w:sz w:val="16"/>
              </w:rPr>
            </w:pPr>
            <w:r>
              <w:rPr>
                <w:b/>
                <w:color w:val="000000"/>
                <w:sz w:val="16"/>
              </w:rPr>
              <w:t xml:space="preserve">GPU </w:t>
              <w:br/>
              <w:t>Met-Ed</w:t>
            </w:r>
          </w:p>
        </w:tc>
        <w:tc>
          <w:tcPr>
            <w:tcW w:w="1010"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120"/>
              <w:jc w:val="center"/>
              <w:rPr>
                <w:b/>
                <w:color w:val="000000"/>
                <w:sz w:val="16"/>
              </w:rPr>
            </w:pPr>
            <w:r>
              <w:rPr>
                <w:b/>
                <w:color w:val="000000"/>
                <w:sz w:val="16"/>
              </w:rPr>
              <w:t>4.53</w:t>
            </w:r>
          </w:p>
        </w:tc>
        <w:tc>
          <w:tcPr>
            <w:tcW w:w="1010"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120"/>
              <w:jc w:val="center"/>
              <w:rPr>
                <w:b/>
                <w:color w:val="000000"/>
                <w:sz w:val="16"/>
              </w:rPr>
            </w:pPr>
            <w:r>
              <w:rPr>
                <w:b/>
                <w:color w:val="000000"/>
                <w:sz w:val="16"/>
              </w:rPr>
              <w:t>4.60</w:t>
            </w:r>
          </w:p>
        </w:tc>
        <w:tc>
          <w:tcPr>
            <w:tcW w:w="1010"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120"/>
              <w:jc w:val="center"/>
              <w:rPr>
                <w:b/>
                <w:color w:val="000000"/>
                <w:sz w:val="16"/>
              </w:rPr>
            </w:pPr>
            <w:r>
              <w:rPr>
                <w:b/>
                <w:color w:val="000000"/>
                <w:sz w:val="16"/>
              </w:rPr>
              <w:t>7.09</w:t>
            </w:r>
          </w:p>
        </w:tc>
        <w:tc>
          <w:tcPr>
            <w:tcW w:w="1170" w:type="dxa"/>
            <w:tcBorders>
              <w:top w:val="single" w:sz="6" w:space="0" w:color="000000"/>
              <w:start w:val="single" w:sz="6" w:space="0" w:color="000000"/>
              <w:bottom w:val="single" w:sz="6" w:space="0" w:color="000000"/>
              <w:end w:val="single" w:sz="12" w:space="0" w:color="000000"/>
            </w:tcBorders>
            <w:vAlign w:val="center"/>
          </w:tcPr>
          <w:p>
            <w:pPr>
              <w:pStyle w:val="Normal"/>
              <w:spacing w:before="0" w:after="120"/>
              <w:jc w:val="center"/>
              <w:rPr>
                <w:b/>
                <w:color w:val="000000"/>
                <w:sz w:val="16"/>
              </w:rPr>
            </w:pPr>
            <w:r>
              <w:rPr>
                <w:b/>
                <w:color w:val="000000"/>
                <w:sz w:val="16"/>
              </w:rPr>
              <w:t>5.70</w:t>
            </w:r>
          </w:p>
        </w:tc>
      </w:tr>
      <w:tr>
        <w:trPr>
          <w:trHeight w:val="400" w:hRule="exact"/>
        </w:trPr>
        <w:tc>
          <w:tcPr>
            <w:tcW w:w="1020" w:type="dxa"/>
            <w:tcBorders>
              <w:top w:val="single" w:sz="6" w:space="0" w:color="000000"/>
              <w:start w:val="single" w:sz="12" w:space="0" w:color="000000"/>
              <w:bottom w:val="single" w:sz="6" w:space="0" w:color="000000"/>
              <w:end w:val="single" w:sz="6" w:space="0" w:color="000000"/>
            </w:tcBorders>
            <w:vAlign w:val="center"/>
          </w:tcPr>
          <w:p>
            <w:pPr>
              <w:pStyle w:val="Normal"/>
              <w:spacing w:before="0" w:after="120"/>
              <w:rPr>
                <w:b/>
                <w:color w:val="000000"/>
                <w:sz w:val="16"/>
              </w:rPr>
            </w:pPr>
            <w:r>
              <w:rPr>
                <w:b/>
                <w:color w:val="000000"/>
                <w:sz w:val="16"/>
              </w:rPr>
              <w:t>GPU</w:t>
              <w:br/>
              <w:t>Penelec</w:t>
            </w:r>
          </w:p>
        </w:tc>
        <w:tc>
          <w:tcPr>
            <w:tcW w:w="1010"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120"/>
              <w:jc w:val="center"/>
              <w:rPr>
                <w:b/>
                <w:color w:val="000000"/>
                <w:sz w:val="16"/>
              </w:rPr>
            </w:pPr>
            <w:r>
              <w:rPr>
                <w:b/>
                <w:color w:val="000000"/>
                <w:sz w:val="16"/>
              </w:rPr>
              <w:t>4.53</w:t>
            </w:r>
          </w:p>
        </w:tc>
        <w:tc>
          <w:tcPr>
            <w:tcW w:w="1010"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120"/>
              <w:jc w:val="center"/>
              <w:rPr>
                <w:b/>
                <w:color w:val="000000"/>
                <w:sz w:val="16"/>
              </w:rPr>
            </w:pPr>
            <w:r>
              <w:rPr>
                <w:b/>
                <w:color w:val="000000"/>
                <w:sz w:val="16"/>
              </w:rPr>
              <w:t>4.50</w:t>
            </w:r>
          </w:p>
        </w:tc>
        <w:tc>
          <w:tcPr>
            <w:tcW w:w="1010"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120"/>
              <w:jc w:val="center"/>
              <w:rPr>
                <w:b/>
                <w:color w:val="000000"/>
                <w:sz w:val="16"/>
              </w:rPr>
            </w:pPr>
            <w:r>
              <w:rPr>
                <w:b/>
                <w:color w:val="000000"/>
                <w:sz w:val="16"/>
              </w:rPr>
              <w:t>7.09</w:t>
            </w:r>
          </w:p>
        </w:tc>
        <w:tc>
          <w:tcPr>
            <w:tcW w:w="1170" w:type="dxa"/>
            <w:tcBorders>
              <w:top w:val="single" w:sz="6" w:space="0" w:color="000000"/>
              <w:start w:val="single" w:sz="6" w:space="0" w:color="000000"/>
              <w:bottom w:val="single" w:sz="6" w:space="0" w:color="000000"/>
              <w:end w:val="single" w:sz="12" w:space="0" w:color="000000"/>
            </w:tcBorders>
            <w:vAlign w:val="center"/>
          </w:tcPr>
          <w:p>
            <w:pPr>
              <w:pStyle w:val="Normal"/>
              <w:spacing w:before="0" w:after="120"/>
              <w:jc w:val="center"/>
              <w:rPr>
                <w:b/>
                <w:color w:val="000000"/>
                <w:sz w:val="16"/>
              </w:rPr>
            </w:pPr>
            <w:r>
              <w:rPr>
                <w:b/>
                <w:color w:val="000000"/>
                <w:sz w:val="16"/>
              </w:rPr>
              <w:t>5.40</w:t>
            </w:r>
          </w:p>
        </w:tc>
      </w:tr>
      <w:tr>
        <w:trPr>
          <w:trHeight w:val="240" w:hRule="exact"/>
        </w:trPr>
        <w:tc>
          <w:tcPr>
            <w:tcW w:w="1020" w:type="dxa"/>
            <w:tcBorders>
              <w:top w:val="single" w:sz="6" w:space="0" w:color="000000"/>
              <w:start w:val="single" w:sz="12" w:space="0" w:color="000000"/>
              <w:bottom w:val="single" w:sz="6" w:space="0" w:color="000000"/>
              <w:end w:val="single" w:sz="6" w:space="0" w:color="000000"/>
            </w:tcBorders>
            <w:vAlign w:val="center"/>
          </w:tcPr>
          <w:p>
            <w:pPr>
              <w:pStyle w:val="Normal"/>
              <w:spacing w:before="0" w:after="120"/>
              <w:rPr>
                <w:b/>
                <w:color w:val="000000"/>
                <w:sz w:val="16"/>
              </w:rPr>
            </w:pPr>
            <w:r>
              <w:rPr>
                <w:b/>
                <w:color w:val="000000"/>
                <w:sz w:val="16"/>
              </w:rPr>
              <w:t>PECO</w:t>
            </w:r>
          </w:p>
        </w:tc>
        <w:tc>
          <w:tcPr>
            <w:tcW w:w="1010"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120"/>
              <w:jc w:val="center"/>
              <w:rPr>
                <w:b/>
                <w:color w:val="000000"/>
                <w:sz w:val="16"/>
              </w:rPr>
            </w:pPr>
            <w:r>
              <w:rPr>
                <w:b/>
                <w:color w:val="000000"/>
                <w:sz w:val="16"/>
              </w:rPr>
              <w:t>5.65</w:t>
            </w:r>
          </w:p>
        </w:tc>
        <w:tc>
          <w:tcPr>
            <w:tcW w:w="1010"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120"/>
              <w:jc w:val="center"/>
              <w:rPr>
                <w:b/>
                <w:color w:val="000000"/>
                <w:sz w:val="16"/>
              </w:rPr>
            </w:pPr>
            <w:r>
              <w:rPr>
                <w:b/>
                <w:color w:val="000000"/>
                <w:sz w:val="16"/>
              </w:rPr>
              <w:t>4.65</w:t>
            </w:r>
          </w:p>
        </w:tc>
        <w:tc>
          <w:tcPr>
            <w:tcW w:w="1010"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120"/>
              <w:jc w:val="center"/>
              <w:rPr>
                <w:b/>
                <w:color w:val="000000"/>
                <w:sz w:val="16"/>
              </w:rPr>
            </w:pPr>
            <w:r>
              <w:rPr>
                <w:b/>
                <w:color w:val="000000"/>
                <w:sz w:val="16"/>
              </w:rPr>
              <w:t>6.37</w:t>
            </w:r>
          </w:p>
        </w:tc>
        <w:tc>
          <w:tcPr>
            <w:tcW w:w="1170" w:type="dxa"/>
            <w:tcBorders>
              <w:top w:val="single" w:sz="6" w:space="0" w:color="000000"/>
              <w:start w:val="single" w:sz="6" w:space="0" w:color="000000"/>
              <w:bottom w:val="single" w:sz="6" w:space="0" w:color="000000"/>
              <w:end w:val="single" w:sz="12" w:space="0" w:color="000000"/>
            </w:tcBorders>
            <w:vAlign w:val="center"/>
          </w:tcPr>
          <w:p>
            <w:pPr>
              <w:pStyle w:val="Normal"/>
              <w:spacing w:before="0" w:after="120"/>
              <w:jc w:val="center"/>
              <w:rPr>
                <w:b/>
                <w:color w:val="000000"/>
                <w:sz w:val="16"/>
              </w:rPr>
            </w:pPr>
            <w:r>
              <w:rPr>
                <w:b/>
                <w:color w:val="000000"/>
                <w:sz w:val="16"/>
              </w:rPr>
              <w:t>8.65</w:t>
            </w:r>
          </w:p>
        </w:tc>
      </w:tr>
      <w:tr>
        <w:trPr>
          <w:trHeight w:val="240" w:hRule="exact"/>
        </w:trPr>
        <w:tc>
          <w:tcPr>
            <w:tcW w:w="1020" w:type="dxa"/>
            <w:tcBorders>
              <w:top w:val="single" w:sz="6" w:space="0" w:color="000000"/>
              <w:start w:val="single" w:sz="12" w:space="0" w:color="000000"/>
              <w:bottom w:val="single" w:sz="6" w:space="0" w:color="000000"/>
              <w:end w:val="single" w:sz="6" w:space="0" w:color="000000"/>
            </w:tcBorders>
            <w:vAlign w:val="center"/>
          </w:tcPr>
          <w:p>
            <w:pPr>
              <w:pStyle w:val="Normal"/>
              <w:spacing w:before="0" w:after="120"/>
              <w:rPr>
                <w:b/>
                <w:color w:val="000000"/>
                <w:sz w:val="16"/>
              </w:rPr>
            </w:pPr>
            <w:r>
              <w:rPr>
                <w:b/>
                <w:color w:val="000000"/>
                <w:sz w:val="16"/>
              </w:rPr>
              <w:t>PPL</w:t>
            </w:r>
          </w:p>
        </w:tc>
        <w:tc>
          <w:tcPr>
            <w:tcW w:w="1010"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120"/>
              <w:jc w:val="center"/>
              <w:rPr>
                <w:b/>
                <w:color w:val="000000"/>
                <w:sz w:val="16"/>
              </w:rPr>
            </w:pPr>
            <w:r>
              <w:rPr>
                <w:b/>
                <w:color w:val="000000"/>
                <w:sz w:val="16"/>
              </w:rPr>
              <w:t>4.61</w:t>
            </w:r>
          </w:p>
        </w:tc>
        <w:tc>
          <w:tcPr>
            <w:tcW w:w="1010"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120"/>
              <w:jc w:val="center"/>
              <w:rPr>
                <w:b/>
                <w:color w:val="000000"/>
                <w:sz w:val="16"/>
              </w:rPr>
            </w:pPr>
            <w:r>
              <w:rPr>
                <w:b/>
                <w:color w:val="000000"/>
                <w:sz w:val="16"/>
              </w:rPr>
              <w:t>4.30</w:t>
            </w:r>
          </w:p>
        </w:tc>
        <w:tc>
          <w:tcPr>
            <w:tcW w:w="1010"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120"/>
              <w:jc w:val="center"/>
              <w:rPr>
                <w:b/>
                <w:color w:val="000000"/>
                <w:sz w:val="16"/>
              </w:rPr>
            </w:pPr>
            <w:r>
              <w:rPr>
                <w:b/>
                <w:color w:val="000000"/>
                <w:sz w:val="16"/>
              </w:rPr>
              <w:t>7.09</w:t>
            </w:r>
          </w:p>
        </w:tc>
        <w:tc>
          <w:tcPr>
            <w:tcW w:w="1170" w:type="dxa"/>
            <w:tcBorders>
              <w:top w:val="single" w:sz="6" w:space="0" w:color="000000"/>
              <w:start w:val="single" w:sz="6" w:space="0" w:color="000000"/>
              <w:bottom w:val="single" w:sz="6" w:space="0" w:color="000000"/>
              <w:end w:val="single" w:sz="12" w:space="0" w:color="000000"/>
            </w:tcBorders>
            <w:vAlign w:val="center"/>
          </w:tcPr>
          <w:p>
            <w:pPr>
              <w:pStyle w:val="Normal"/>
              <w:spacing w:before="0" w:after="120"/>
              <w:jc w:val="center"/>
              <w:rPr>
                <w:b/>
                <w:color w:val="000000"/>
                <w:sz w:val="16"/>
              </w:rPr>
            </w:pPr>
            <w:r>
              <w:rPr>
                <w:b/>
                <w:color w:val="000000"/>
                <w:sz w:val="16"/>
              </w:rPr>
              <w:t>6.26</w:t>
            </w:r>
          </w:p>
        </w:tc>
      </w:tr>
      <w:tr>
        <w:trPr>
          <w:trHeight w:val="240" w:hRule="exact"/>
        </w:trPr>
        <w:tc>
          <w:tcPr>
            <w:tcW w:w="1020" w:type="dxa"/>
            <w:tcBorders>
              <w:top w:val="single" w:sz="6" w:space="0" w:color="000000"/>
              <w:start w:val="single" w:sz="12" w:space="0" w:color="000000"/>
              <w:bottom w:val="single" w:sz="12" w:space="0" w:color="000000"/>
              <w:end w:val="single" w:sz="6" w:space="0" w:color="000000"/>
            </w:tcBorders>
            <w:vAlign w:val="center"/>
          </w:tcPr>
          <w:p>
            <w:pPr>
              <w:pStyle w:val="Normal"/>
              <w:spacing w:before="0" w:after="120"/>
              <w:rPr>
                <w:b/>
                <w:color w:val="000000"/>
                <w:sz w:val="16"/>
              </w:rPr>
            </w:pPr>
            <w:r>
              <w:rPr>
                <w:b/>
                <w:color w:val="000000"/>
                <w:sz w:val="16"/>
              </w:rPr>
              <w:t>Allegheny</w:t>
            </w:r>
          </w:p>
        </w:tc>
        <w:tc>
          <w:tcPr>
            <w:tcW w:w="1010" w:type="dxa"/>
            <w:tcBorders>
              <w:top w:val="single" w:sz="6" w:space="0" w:color="000000"/>
              <w:start w:val="single" w:sz="6" w:space="0" w:color="000000"/>
              <w:bottom w:val="single" w:sz="12" w:space="0" w:color="000000"/>
              <w:end w:val="single" w:sz="6" w:space="0" w:color="000000"/>
            </w:tcBorders>
            <w:vAlign w:val="center"/>
          </w:tcPr>
          <w:p>
            <w:pPr>
              <w:pStyle w:val="Normal"/>
              <w:spacing w:before="0" w:after="120"/>
              <w:jc w:val="center"/>
              <w:rPr>
                <w:b/>
                <w:color w:val="000000"/>
                <w:sz w:val="16"/>
              </w:rPr>
            </w:pPr>
            <w:r>
              <w:rPr>
                <w:b/>
                <w:color w:val="000000"/>
                <w:sz w:val="16"/>
              </w:rPr>
              <w:t>3.24</w:t>
            </w:r>
          </w:p>
        </w:tc>
        <w:tc>
          <w:tcPr>
            <w:tcW w:w="1010" w:type="dxa"/>
            <w:tcBorders>
              <w:top w:val="single" w:sz="6" w:space="0" w:color="000000"/>
              <w:start w:val="single" w:sz="6" w:space="0" w:color="000000"/>
              <w:bottom w:val="single" w:sz="12" w:space="0" w:color="000000"/>
              <w:end w:val="single" w:sz="6" w:space="0" w:color="000000"/>
            </w:tcBorders>
            <w:vAlign w:val="center"/>
          </w:tcPr>
          <w:p>
            <w:pPr>
              <w:pStyle w:val="Normal"/>
              <w:spacing w:before="0" w:after="120"/>
              <w:jc w:val="center"/>
              <w:rPr>
                <w:b/>
                <w:color w:val="000000"/>
                <w:sz w:val="16"/>
              </w:rPr>
            </w:pPr>
            <w:r>
              <w:rPr>
                <w:b/>
                <w:color w:val="000000"/>
                <w:sz w:val="16"/>
              </w:rPr>
              <w:t>5.20</w:t>
            </w:r>
          </w:p>
        </w:tc>
        <w:tc>
          <w:tcPr>
            <w:tcW w:w="1010" w:type="dxa"/>
            <w:tcBorders>
              <w:top w:val="single" w:sz="6" w:space="0" w:color="000000"/>
              <w:start w:val="single" w:sz="6" w:space="0" w:color="000000"/>
              <w:bottom w:val="single" w:sz="12" w:space="0" w:color="000000"/>
              <w:end w:val="single" w:sz="6" w:space="0" w:color="000000"/>
            </w:tcBorders>
            <w:vAlign w:val="center"/>
          </w:tcPr>
          <w:p>
            <w:pPr>
              <w:pStyle w:val="Normal"/>
              <w:spacing w:before="0" w:after="120"/>
              <w:jc w:val="center"/>
              <w:rPr>
                <w:b/>
                <w:color w:val="000000"/>
                <w:sz w:val="16"/>
              </w:rPr>
            </w:pPr>
            <w:r>
              <w:rPr>
                <w:b/>
                <w:color w:val="000000"/>
                <w:sz w:val="16"/>
              </w:rPr>
              <w:t>6.49</w:t>
            </w:r>
          </w:p>
        </w:tc>
        <w:tc>
          <w:tcPr>
            <w:tcW w:w="1170" w:type="dxa"/>
            <w:tcBorders>
              <w:top w:val="single" w:sz="6" w:space="0" w:color="000000"/>
              <w:start w:val="single" w:sz="6" w:space="0" w:color="000000"/>
              <w:bottom w:val="single" w:sz="12" w:space="0" w:color="000000"/>
              <w:end w:val="single" w:sz="12" w:space="0" w:color="000000"/>
            </w:tcBorders>
            <w:vAlign w:val="center"/>
          </w:tcPr>
          <w:p>
            <w:pPr>
              <w:pStyle w:val="Normal"/>
              <w:spacing w:before="0" w:after="120"/>
              <w:jc w:val="center"/>
              <w:rPr>
                <w:b/>
                <w:color w:val="000000"/>
                <w:sz w:val="16"/>
              </w:rPr>
            </w:pPr>
            <w:r>
              <w:rPr>
                <w:b/>
                <w:color w:val="000000"/>
                <w:sz w:val="16"/>
              </w:rPr>
              <w:t>5.30</w:t>
            </w:r>
          </w:p>
        </w:tc>
      </w:tr>
    </w:tbl>
    <w:p>
      <w:pPr>
        <w:pStyle w:val="Normal"/>
        <w:spacing w:before="0" w:after="120"/>
        <w:jc w:val="both"/>
        <w:rPr>
          <w:sz w:val="16"/>
        </w:rPr>
      </w:pPr>
      <w:r>
        <w:rPr>
          <w:sz w:val="16"/>
        </w:rPr>
        <w:t>Note: 2001 shopping credits will be moderately higher in some cases.</w:t>
      </w:r>
    </w:p>
    <w:p>
      <w:pPr>
        <w:pStyle w:val="BodyText"/>
        <w:spacing w:before="0" w:after="120"/>
        <w:rPr/>
      </w:pPr>
      <w:r>
        <w:rPr/>
        <w:t>In most parts of the Commonwealth, current competitive retail prices for residential customers are 0.90 to 3.15 cents per kilowatt-hour less than what customers were paying for the same generation and transmission service prior to competition. As a result of stranded cost charges that utilities are being allowed to collect, these substantial competitive savings are not fully passed on to consumers.</w:t>
      </w:r>
    </w:p>
    <w:p>
      <w:pPr>
        <w:pStyle w:val="Normal"/>
        <w:spacing w:before="0" w:after="120"/>
        <w:jc w:val="both"/>
        <w:rPr/>
      </w:pPr>
      <w:r>
        <w:rPr>
          <w:sz w:val="20"/>
        </w:rPr>
        <w:t>In fact, were it not for stranded cost charges, Pennsylvania’s residential customers would have had their total rates (including distribution and transition rates) decline by about 20% in 2000. Generation rates would have declined by as much as 40%. These huge price reductions are real but will not fully reach customers during the transition period when utilities are allowed to collect stranded costs.</w:t>
      </w:r>
    </w:p>
    <w:p>
      <w:pPr>
        <w:pStyle w:val="Normal"/>
        <w:spacing w:before="0" w:after="120"/>
        <w:jc w:val="both"/>
        <w:rPr/>
      </w:pPr>
      <w:r>
        <w:rPr>
          <w:sz w:val="20"/>
        </w:rPr>
        <w:t xml:space="preserve">Competitive retail prices are also in most cases less than Pennsylvania’s default rates or shopping credits. This is important and encouraging, because Pennsylvania’s current residential default rates or shopping credits are in every case much less than what customers were paying for generation service at the start of the competitive transition. Indeed, current default rates are about one to three cents per kilowatt-hour </w:t>
      </w:r>
      <w:r>
        <w:rPr>
          <w:i/>
          <w:sz w:val="20"/>
        </w:rPr>
        <w:t>less</w:t>
      </w:r>
      <w:r>
        <w:rPr>
          <w:sz w:val="20"/>
        </w:rPr>
        <w:t xml:space="preserve"> than residential customers were paying for the same service from their local utility prior to competition.</w:t>
      </w:r>
    </w:p>
    <w:p>
      <w:pPr>
        <w:pStyle w:val="BodyText"/>
        <w:spacing w:before="0" w:after="120"/>
        <w:rPr/>
      </w:pPr>
      <w:r>
        <w:rPr/>
        <w:t>The California fiasco has meant a lot of discussion about the price of electricity, but it has not meant a lot of understanding of sensible competitive policies’ potential impact on retail prices. Instead, a great deal of reporting reflects understandable misconception of basic price benchmarks. For example, very few stories identify accurately or even at all what customers were paying for generation service prior to competition (the pre-competition embedded generation rate of the incumbent utility). This failing can be traced to the fact that states have not prominently made this data available.</w:t>
      </w:r>
    </w:p>
    <w:p>
      <w:pPr>
        <w:pStyle w:val="BodyText"/>
        <w:spacing w:before="0" w:after="120"/>
        <w:rPr/>
      </w:pPr>
      <w:r>
        <w:rPr/>
        <w:t>Worse yet, many press articles mistakenly assume the default rate or the shopping credit is equal to what customers were paying the local utility for generation service prior to competition, and report that competition will lead to price shock for customers if market prices exceed present default rates. But this dramatic warning is typically wrong.</w:t>
      </w:r>
    </w:p>
    <w:p>
      <w:pPr>
        <w:pStyle w:val="Normal"/>
        <w:spacing w:before="0" w:after="120"/>
        <w:jc w:val="both"/>
        <w:rPr/>
      </w:pPr>
      <w:r>
        <w:rPr>
          <w:sz w:val="20"/>
        </w:rPr>
        <w:t xml:space="preserve">The press’ misunderstanding hides an important fact: </w:t>
      </w:r>
      <w:r>
        <w:rPr>
          <w:i/>
          <w:sz w:val="20"/>
        </w:rPr>
        <w:t>current default rates or shopping credits are nearly always much less than what customers were paying for generation service prior to competition</w:t>
      </w:r>
      <w:r>
        <w:rPr>
          <w:sz w:val="20"/>
        </w:rPr>
        <w:t xml:space="preserve">. Total rates after the transition to competition will not be greater than they were prior to competition, unless competitive retail rates exceed the utility’s pre-competition embedded generation rate. </w:t>
      </w:r>
    </w:p>
    <w:p>
      <w:pPr>
        <w:pStyle w:val="Normal"/>
        <w:spacing w:before="0" w:after="120"/>
        <w:jc w:val="both"/>
        <w:rPr/>
      </w:pPr>
      <w:r>
        <w:rPr>
          <w:sz w:val="20"/>
        </w:rPr>
        <w:t>Consequently, if competitive prices are higher than current default rates but lower than a utility’s pre-competition embedded generation rate, consumers will have lower total rates once stranded cost charges are removed and the transition period expires. That is, they will if a state creates a genuinely competitive retail market that pulls through competitive prices.</w:t>
      </w:r>
      <w: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1064260</wp:posOffset>
                </wp:positionV>
                <wp:extent cx="3352800" cy="387985"/>
                <wp:effectExtent l="0" t="0" r="0" b="0"/>
                <wp:wrapNone/>
                <wp:docPr id="1" name="Frame1"/>
                <a:graphic xmlns:a="http://schemas.openxmlformats.org/drawingml/2006/main">
                  <a:graphicData uri="http://schemas.microsoft.com/office/word/2010/wordprocessingShape">
                    <wps:wsp>
                      <wps:cNvSpPr txBox="1"/>
                      <wps:spPr>
                        <a:xfrm>
                          <a:off x="0" y="0"/>
                          <a:ext cx="3352800" cy="387985"/>
                        </a:xfrm>
                        <a:prstGeom prst="rect"/>
                        <a:solidFill>
                          <a:srgbClr val="FFFFFF"/>
                        </a:solidFill>
                        <a:ln w="25400">
                          <a:solidFill>
                            <a:srgbClr val="000000"/>
                          </a:solidFill>
                        </a:ln>
                      </wps:spPr>
                      <wps:txbx>
                        <w:txbxContent>
                          <w:p>
                            <w:pPr>
                              <w:pStyle w:val="Normal"/>
                              <w:tabs>
                                <w:tab w:val="left" w:pos="720" w:leader="none"/>
                              </w:tabs>
                              <w:spacing w:before="0" w:after="120"/>
                              <w:jc w:val="both"/>
                              <w:rPr/>
                            </w:pPr>
                            <w:r>
                              <w:rPr>
                                <w:i/>
                                <w:sz w:val="16"/>
                              </w:rPr>
                              <w:t>E</w:t>
                            </w:r>
                            <w:r>
                              <w:rPr>
                                <w:i/>
                                <w:sz w:val="16"/>
                                <w:vertAlign w:val="superscript"/>
                              </w:rPr>
                              <w:t>3</w:t>
                            </w:r>
                            <w:r>
                              <w:rPr>
                                <w:i/>
                                <w:sz w:val="16"/>
                              </w:rPr>
                              <w:t xml:space="preserve"> is available for reprint in newspapers and other publications. Authors are available for print or broadcast.</w:t>
                            </w:r>
                          </w:p>
                          <w:p>
                            <w:pPr>
                              <w:pStyle w:val="Header"/>
                              <w:tabs>
                                <w:tab w:val="clear" w:pos="4320"/>
                                <w:tab w:val="clear" w:pos="8640"/>
                              </w:tabs>
                              <w:rPr>
                                <w:i/>
                                <w:i/>
                                <w:sz w:val="16"/>
                              </w:rPr>
                            </w:pPr>
                            <w:r>
                              <w:rPr>
                                <w:i/>
                                <w:sz w:val="16"/>
                              </w:rPr>
                            </w:r>
                          </w:p>
                        </w:txbxContent>
                      </wps:txbx>
                      <wps:bodyPr anchor="t" lIns="91440" tIns="54610" rIns="91440" bIns="45720">
                        <a:noAutofit/>
                      </wps:bodyPr>
                    </wps:wsp>
                  </a:graphicData>
                </a:graphic>
              </wp:anchor>
            </w:drawing>
          </mc:Choice>
          <mc:Fallback>
            <w:pict>
              <v:rect fillcolor="#FFFFFF" strokecolor="#000000" strokeweight="2pt" style="position:absolute;rotation:-0;width:264pt;height:30.55pt;mso-wrap-distance-left:9.05pt;mso-wrap-distance-right:9.05pt;mso-wrap-distance-top:0pt;mso-wrap-distance-bottom:0pt;margin-top:83.8pt;mso-position-vertical-relative:text;margin-left:0pt;mso-position-horizontal-relative:text">
                <v:textbox inset="0.1in,0.0597222222222222in">
                  <w:txbxContent>
                    <w:p>
                      <w:pPr>
                        <w:pStyle w:val="Normal"/>
                        <w:tabs>
                          <w:tab w:val="left" w:pos="720" w:leader="none"/>
                        </w:tabs>
                        <w:spacing w:before="0" w:after="120"/>
                        <w:jc w:val="both"/>
                        <w:rPr/>
                      </w:pPr>
                      <w:r>
                        <w:rPr>
                          <w:i/>
                          <w:sz w:val="16"/>
                        </w:rPr>
                        <w:t>E</w:t>
                      </w:r>
                      <w:r>
                        <w:rPr>
                          <w:i/>
                          <w:sz w:val="16"/>
                          <w:vertAlign w:val="superscript"/>
                        </w:rPr>
                        <w:t>3</w:t>
                      </w:r>
                      <w:r>
                        <w:rPr>
                          <w:i/>
                          <w:sz w:val="16"/>
                        </w:rPr>
                        <w:t xml:space="preserve"> is available for reprint in newspapers and other publications. Authors are available for print or broadcast.</w:t>
                      </w:r>
                    </w:p>
                    <w:p>
                      <w:pPr>
                        <w:pStyle w:val="Header"/>
                        <w:tabs>
                          <w:tab w:val="clear" w:pos="4320"/>
                          <w:tab w:val="clear" w:pos="8640"/>
                        </w:tabs>
                        <w:rPr>
                          <w:i/>
                          <w:i/>
                          <w:sz w:val="16"/>
                        </w:rPr>
                      </w:pPr>
                      <w:r>
                        <w:rPr>
                          <w:i/>
                          <w:sz w:val="16"/>
                        </w:rPr>
                      </w:r>
                    </w:p>
                  </w:txbxContent>
                </v:textbox>
                <w10:wrap type="none"/>
              </v:rect>
            </w:pict>
          </mc:Fallback>
        </mc:AlternateContent>
      </w:r>
    </w:p>
    <w:sect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quote">
    <w:name w:val="Blockquote"/>
    <w:basedOn w:val="Normal"/>
    <w:qFormat/>
    <w:pPr>
      <w:spacing w:before="100" w:after="100"/>
      <w:ind w:hanging="0" w:start="360" w:end="360"/>
    </w:pPr>
    <w:rPr>
      <w:rFonts w:ascii="Times New Roman" w:hAnsi="Times New Roman" w:cs="Times New Roman"/>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2001-01-04T14:27:00Z</dcterms:created>
  <dc:creator>Ed McGovern</dc:creator>
  <dc:description/>
  <dc:language>en-CA</dc:language>
  <cp:lastModifiedBy>Ed McGovern</cp:lastModifiedBy>
  <cp:lastPrinted>2001-01-03T17:07:00Z</cp:lastPrinted>
  <dcterms:modified xsi:type="dcterms:W3CDTF">2001-01-04T14:27:00Z</dcterms:modified>
  <cp:revision>2</cp:revision>
  <dc:subject/>
  <dc:title>September 14, 1999</dc:title>
</cp:coreProperties>
</file>